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F8" w:rsidRPr="00C9222A" w:rsidRDefault="00D73955" w:rsidP="00D73955">
      <w:pPr>
        <w:jc w:val="right"/>
        <w:rPr>
          <w:bCs/>
          <w:color w:val="000000"/>
        </w:rPr>
      </w:pPr>
      <w:r w:rsidRPr="00C9222A">
        <w:rPr>
          <w:bCs/>
          <w:color w:val="000000"/>
        </w:rPr>
        <w:t>Приложение 2 к тендерной документации</w:t>
      </w:r>
    </w:p>
    <w:p w:rsidR="000E5680" w:rsidRDefault="000E5680" w:rsidP="000E5680">
      <w:pPr>
        <w:rPr>
          <w:iCs/>
        </w:rPr>
      </w:pPr>
    </w:p>
    <w:p w:rsidR="000E5680" w:rsidRPr="00172284" w:rsidRDefault="000E5680" w:rsidP="000E5680">
      <w:pPr>
        <w:rPr>
          <w:iCs/>
        </w:rPr>
      </w:pPr>
      <w:r w:rsidRPr="00172284">
        <w:rPr>
          <w:iCs/>
        </w:rPr>
        <w:t xml:space="preserve">Заказчик: КГП на ПХВ «Жамбылская районная больница» КГУ «УЗ акимата СКО»             </w:t>
      </w:r>
    </w:p>
    <w:p w:rsidR="000E5680" w:rsidRPr="00172284" w:rsidRDefault="000E5680" w:rsidP="000E5680">
      <w:pPr>
        <w:rPr>
          <w:iCs/>
        </w:rPr>
      </w:pPr>
      <w:r w:rsidRPr="00172284">
        <w:rPr>
          <w:iCs/>
        </w:rPr>
        <w:t>Организатор: КГП на ПХВ «Жамбылская районная больница» КГУ «УЗ акимата СКО»</w:t>
      </w:r>
    </w:p>
    <w:p w:rsidR="000E5680" w:rsidRDefault="000E5680" w:rsidP="000E5680">
      <w:pPr>
        <w:rPr>
          <w:bCs/>
          <w:color w:val="000000"/>
        </w:rPr>
      </w:pPr>
    </w:p>
    <w:p w:rsidR="000E5680" w:rsidRPr="000E5680" w:rsidRDefault="000E5680" w:rsidP="000E5680">
      <w:pPr>
        <w:jc w:val="center"/>
        <w:rPr>
          <w:bCs/>
          <w:color w:val="000000"/>
          <w:lang w:val="kk-KZ"/>
        </w:rPr>
      </w:pPr>
      <w:r>
        <w:rPr>
          <w:bCs/>
          <w:color w:val="000000"/>
        </w:rPr>
        <w:t>Техническая характеристика</w:t>
      </w:r>
      <w:r w:rsidR="00D4404D" w:rsidRPr="00C9222A">
        <w:rPr>
          <w:bCs/>
          <w:color w:val="000000"/>
        </w:rPr>
        <w:t xml:space="preserve"> по Л</w:t>
      </w:r>
      <w:r w:rsidR="00D73955" w:rsidRPr="00C9222A">
        <w:rPr>
          <w:bCs/>
          <w:color w:val="000000"/>
        </w:rPr>
        <w:t xml:space="preserve">оту №1 </w:t>
      </w:r>
      <w:r w:rsidR="00206601" w:rsidRPr="00C9222A">
        <w:rPr>
          <w:bCs/>
          <w:color w:val="000000"/>
        </w:rPr>
        <w:t>–</w:t>
      </w:r>
      <w:r w:rsidR="00D73955" w:rsidRPr="00C9222A">
        <w:rPr>
          <w:bCs/>
          <w:color w:val="000000"/>
        </w:rPr>
        <w:t xml:space="preserve"> </w:t>
      </w:r>
      <w:r w:rsidR="003B157E" w:rsidRPr="003B157E">
        <w:rPr>
          <w:bCs/>
          <w:color w:val="000000"/>
          <w:lang w:val="kk-KZ"/>
        </w:rPr>
        <w:t>Аппарат электрохирургический высокочастотный ЭХВЧ-350- «ФОТЕК»</w:t>
      </w:r>
      <w:bookmarkStart w:id="0" w:name="_GoBack"/>
      <w:bookmarkEnd w:id="0"/>
    </w:p>
    <w:tbl>
      <w:tblPr>
        <w:tblW w:w="15751" w:type="dxa"/>
        <w:jc w:val="center"/>
        <w:tblLayout w:type="fixed"/>
        <w:tblLook w:val="0000" w:firstRow="0" w:lastRow="0" w:firstColumn="0" w:lastColumn="0" w:noHBand="0" w:noVBand="0"/>
      </w:tblPr>
      <w:tblGrid>
        <w:gridCol w:w="874"/>
        <w:gridCol w:w="3727"/>
        <w:gridCol w:w="538"/>
        <w:gridCol w:w="29"/>
        <w:gridCol w:w="2409"/>
        <w:gridCol w:w="6804"/>
        <w:gridCol w:w="1370"/>
      </w:tblGrid>
      <w:tr w:rsidR="006A105C" w:rsidRPr="006A105C" w:rsidTr="006A105C">
        <w:trPr>
          <w:trHeight w:val="409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  <w:r w:rsidRPr="006A105C">
              <w:rPr>
                <w:b/>
              </w:rPr>
              <w:t>№ п/п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  <w:r w:rsidRPr="006A105C">
              <w:rPr>
                <w:b/>
              </w:rPr>
              <w:t>Критерии</w:t>
            </w:r>
          </w:p>
        </w:tc>
        <w:tc>
          <w:tcPr>
            <w:tcW w:w="11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rPr>
                <w:b/>
              </w:rPr>
              <w:t>Описание</w:t>
            </w:r>
          </w:p>
        </w:tc>
      </w:tr>
      <w:tr w:rsidR="006A105C" w:rsidRPr="006A105C" w:rsidTr="006A105C">
        <w:trPr>
          <w:trHeight w:val="47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  <w:r w:rsidRPr="006A105C">
              <w:rPr>
                <w:b/>
              </w:rPr>
              <w:t>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i/>
              </w:rPr>
            </w:pPr>
            <w:r w:rsidRPr="006A105C">
              <w:rPr>
                <w:b/>
              </w:rPr>
              <w:t xml:space="preserve">Наименование медицинской техники 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  <w:bCs/>
              </w:rPr>
            </w:pPr>
            <w:r w:rsidRPr="006A105C">
              <w:rPr>
                <w:i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11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  <w:bCs/>
              </w:rPr>
            </w:pPr>
            <w:r w:rsidRPr="006A105C">
              <w:rPr>
                <w:b/>
              </w:rPr>
              <w:t>Аппарат электрохирургический высокочастотный ЭХВЧ-350- «ФОТЕК»</w:t>
            </w:r>
            <w:r w:rsidRPr="006A105C">
              <w:rPr>
                <w:bCs/>
              </w:rPr>
              <w:t xml:space="preserve"> </w:t>
            </w:r>
          </w:p>
        </w:tc>
      </w:tr>
      <w:tr w:rsidR="006A105C" w:rsidRPr="006A105C" w:rsidTr="006A105C">
        <w:trPr>
          <w:trHeight w:val="611"/>
          <w:jc w:val="center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  <w:r w:rsidRPr="006A105C">
              <w:rPr>
                <w:b/>
              </w:rPr>
              <w:t>Требования к комплектации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i/>
              </w:rPr>
            </w:pPr>
            <w:r w:rsidRPr="006A105C">
              <w:rPr>
                <w:i/>
              </w:rPr>
              <w:t>№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i/>
              </w:rPr>
            </w:pPr>
            <w:r w:rsidRPr="006A105C">
              <w:rPr>
                <w:i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i/>
              </w:rPr>
            </w:pPr>
            <w:r w:rsidRPr="006A105C">
              <w:rPr>
                <w:i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i/>
              </w:rPr>
            </w:pPr>
            <w:r w:rsidRPr="006A105C">
              <w:rPr>
                <w:i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i/>
              </w:rPr>
            </w:pPr>
            <w:r w:rsidRPr="006A105C">
              <w:rPr>
                <w:i/>
              </w:rPr>
              <w:t>Требуемое количество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  <w:rPr>
                <w:i/>
              </w:rPr>
            </w:pPr>
            <w:r w:rsidRPr="006A105C">
              <w:rPr>
                <w:i/>
              </w:rPr>
              <w:t>(с указанием единицы измерения)</w:t>
            </w:r>
          </w:p>
        </w:tc>
      </w:tr>
      <w:tr w:rsidR="006A105C" w:rsidRPr="006A105C" w:rsidTr="006A105C">
        <w:trPr>
          <w:trHeight w:val="141"/>
          <w:jc w:val="center"/>
        </w:trPr>
        <w:tc>
          <w:tcPr>
            <w:tcW w:w="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11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rPr>
                <w:i/>
              </w:rPr>
              <w:t>Основные комплектующие</w:t>
            </w:r>
          </w:p>
        </w:tc>
      </w:tr>
      <w:tr w:rsidR="006A105C" w:rsidRPr="006A105C" w:rsidTr="006A105C">
        <w:trPr>
          <w:trHeight w:val="841"/>
          <w:jc w:val="center"/>
        </w:trPr>
        <w:tc>
          <w:tcPr>
            <w:tcW w:w="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1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ВЧ электрохирургический блок для аппарата ЭХВЧ-350-01- «ФОТЕК»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 xml:space="preserve">Аппараты предназначены для резания, монополярной и биполярной коагуляции биологических тканей, а также лигирования крупных сосудов и биологических тканей электрическим током специальной формы. Параметры электропитания Напряжение сети: 220В; Ток, частота: переменный, 50Гц; Номинальная выходная мощность аппарата: 400Вт; Потребляемая мощность при номинальной выходной мощности: 650В.А; Масса составных частей аппаратов (не более) Блок: 7 кг; Педаль двухклавишная: 2 кг; Инструменты и принадлежности: 3 кг; Габаритные размеры блоков (не более) (ширина/глубина/высота) ЭХВЧ-350-01- «ФОТЕК» -295/370/155 мм. Средний срок службы (блок и педаль) 5 лет. Время установления рабочего режима: Не более 5с после включения питания. Сведения о материалах: Аппараты </w:t>
            </w:r>
            <w:r w:rsidRPr="006A105C">
              <w:lastRenderedPageBreak/>
              <w:t>изготовлены из нетоксичных материалов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lastRenderedPageBreak/>
              <w:t>1 шт.</w:t>
            </w:r>
          </w:p>
        </w:tc>
      </w:tr>
      <w:tr w:rsidR="006A105C" w:rsidRPr="006A105C" w:rsidTr="006A105C">
        <w:trPr>
          <w:trHeight w:val="141"/>
          <w:jc w:val="center"/>
        </w:trPr>
        <w:tc>
          <w:tcPr>
            <w:tcW w:w="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11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i/>
              </w:rPr>
            </w:pPr>
            <w:r w:rsidRPr="006A105C">
              <w:rPr>
                <w:i/>
              </w:rPr>
              <w:t>Дополнительные комплектующие:</w:t>
            </w:r>
          </w:p>
        </w:tc>
      </w:tr>
      <w:tr w:rsidR="006A105C" w:rsidRPr="006A105C" w:rsidTr="006A105C">
        <w:trPr>
          <w:trHeight w:val="571"/>
          <w:jc w:val="center"/>
        </w:trPr>
        <w:tc>
          <w:tcPr>
            <w:tcW w:w="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Педаль двухклавишная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Педаль двухклавишная (МОНО)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Масса 2,5 кг.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Габаритные размеры, мм: 400 х200 х120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Длина соединительного кабеля педали (3000+-100) мм.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 xml:space="preserve">Классификация по степени защиты от вредного проникновения воды </w:t>
            </w:r>
            <w:r w:rsidRPr="006A105C">
              <w:rPr>
                <w:lang w:val="en-US"/>
              </w:rPr>
              <w:t>IP</w:t>
            </w:r>
            <w:r w:rsidRPr="006A105C">
              <w:t xml:space="preserve"> </w:t>
            </w:r>
            <w:r w:rsidRPr="006A105C">
              <w:rPr>
                <w:lang w:val="en-US"/>
              </w:rPr>
              <w:t>X</w:t>
            </w:r>
            <w:r w:rsidRPr="006A105C">
              <w:t>7. Педаль с защитой от воспламенения, категория АР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1 шт.</w:t>
            </w:r>
          </w:p>
        </w:tc>
      </w:tr>
      <w:tr w:rsidR="006A105C" w:rsidRPr="006A105C" w:rsidTr="006A105C">
        <w:trPr>
          <w:trHeight w:val="422"/>
          <w:jc w:val="center"/>
        </w:trPr>
        <w:tc>
          <w:tcPr>
            <w:tcW w:w="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Педаль двухклавишная биполярная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Педаль двухклавишная (БИ)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Масса 2,5 кг.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Габаритные размеры, мм: 400 х220 х120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Длина соединительного кабеля педали (3000+-100) мм.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 xml:space="preserve">Классификация по степени защиты от вредного проникновения воды </w:t>
            </w:r>
            <w:r w:rsidRPr="006A105C">
              <w:rPr>
                <w:lang w:val="en-US"/>
              </w:rPr>
              <w:t>IP</w:t>
            </w:r>
            <w:r w:rsidRPr="006A105C">
              <w:t xml:space="preserve"> </w:t>
            </w:r>
            <w:r w:rsidRPr="006A105C">
              <w:rPr>
                <w:lang w:val="en-US"/>
              </w:rPr>
              <w:t>X</w:t>
            </w:r>
            <w:r w:rsidRPr="006A105C">
              <w:t>7. Педаль с защитой от воспламенения, категория АР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1 шт.</w:t>
            </w:r>
          </w:p>
        </w:tc>
      </w:tr>
      <w:tr w:rsidR="006A105C" w:rsidRPr="006A105C" w:rsidTr="006A105C">
        <w:trPr>
          <w:trHeight w:val="422"/>
          <w:jc w:val="center"/>
        </w:trPr>
        <w:tc>
          <w:tcPr>
            <w:tcW w:w="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Держатель монополярных электродов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Держатель монополярных инструментов (электродов)- 2 шт.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Инструментальная часть - подключение к электродам со штекером 4 мм. Аппаратная часть - защищенный штекер 4 мм (ФОТЕК, MARTIN). Длина кабеля 3 м.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Метод стерилизации: автоклавирование.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Внутренний диаметр разъема держателя для подключения монополярных инструментов 4 мм. Устройства для увеличения радиуса изгиба кабеля: эластичный кабельный вывод.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2 шт.</w:t>
            </w:r>
          </w:p>
        </w:tc>
      </w:tr>
      <w:tr w:rsidR="006A105C" w:rsidRPr="006A105C" w:rsidTr="006A105C">
        <w:trPr>
          <w:trHeight w:val="422"/>
          <w:jc w:val="center"/>
        </w:trPr>
        <w:tc>
          <w:tcPr>
            <w:tcW w:w="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Держатель биполярных электродов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 xml:space="preserve">Держатель биполярных инструментов (пинцетов)- 2 шт. Инструментальная часть - подключение к пинцетам (евростандарт). Аппаратная часть – вилка с двумя штекерами 4 мм. 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Длина кабеля 3 м.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2 шт.</w:t>
            </w:r>
          </w:p>
        </w:tc>
      </w:tr>
      <w:tr w:rsidR="006A105C" w:rsidRPr="006A105C" w:rsidTr="006A105C">
        <w:trPr>
          <w:trHeight w:val="422"/>
          <w:jc w:val="center"/>
        </w:trPr>
        <w:tc>
          <w:tcPr>
            <w:tcW w:w="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Держатель нейтрального электрода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Держатель нейтрального электрода "джек"-1 шт. Длина кабеля 3 м.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Метод санобработки: дезинфекция.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1 шт.</w:t>
            </w:r>
          </w:p>
        </w:tc>
      </w:tr>
      <w:tr w:rsidR="006A105C" w:rsidRPr="006A105C" w:rsidTr="006A105C">
        <w:trPr>
          <w:trHeight w:val="422"/>
          <w:jc w:val="center"/>
        </w:trPr>
        <w:tc>
          <w:tcPr>
            <w:tcW w:w="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Держатель монополярных электродов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Держатель монополярных инструментов(электродов) с кнопками управления (резание, коагуляция) - 1 шт.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 xml:space="preserve">Инструментальная часть - подключение к электродам со штекером 4 мм. Аппаратная часть – трехполюсная вилка 4 мм (ФОТЕК, </w:t>
            </w:r>
            <w:r w:rsidRPr="006A105C">
              <w:rPr>
                <w:lang w:val="en-US"/>
              </w:rPr>
              <w:t>Valleylab</w:t>
            </w:r>
            <w:r w:rsidRPr="006A105C">
              <w:t>). Длина кабеля 3 м.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Метод стерилизации: автоклавирование.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lastRenderedPageBreak/>
              <w:t>Внутренний диаметр разъема держателя для подключения монополярных инструментов 4 мм. Устройства для увеличения радиуса изгиба кабеля: эластичный кабельный вывод.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lastRenderedPageBreak/>
              <w:t>1 шт.</w:t>
            </w:r>
          </w:p>
        </w:tc>
      </w:tr>
      <w:tr w:rsidR="006A105C" w:rsidRPr="006A105C" w:rsidTr="006A105C">
        <w:trPr>
          <w:trHeight w:val="422"/>
          <w:jc w:val="center"/>
        </w:trPr>
        <w:tc>
          <w:tcPr>
            <w:tcW w:w="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lang w:val="kk-KZ"/>
              </w:rPr>
            </w:pPr>
            <w:r w:rsidRPr="006A105C">
              <w:rPr>
                <w:lang w:val="kk-KZ"/>
              </w:rPr>
              <w:t>Держатель нейтрального электрода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Держатель нейтрального одно- и двухсекционного электрода "джек". Длина кабеля 2,7 м. Метод санобработки-дезинфекция.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1 шт.</w:t>
            </w:r>
          </w:p>
        </w:tc>
      </w:tr>
      <w:tr w:rsidR="006A105C" w:rsidRPr="006A105C" w:rsidTr="006A105C">
        <w:trPr>
          <w:trHeight w:val="422"/>
          <w:jc w:val="center"/>
        </w:trPr>
        <w:tc>
          <w:tcPr>
            <w:tcW w:w="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lang w:val="kk-KZ"/>
              </w:rPr>
            </w:pPr>
            <w:r w:rsidRPr="006A105C">
              <w:rPr>
                <w:lang w:val="kk-KZ"/>
              </w:rPr>
              <w:t>Пинцет прямой, 190 мм.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Биполярные инструменты (пинцеты) различной конфигурации – 1шт. Конфигурация: пинцет прямой антипригарный CLEANTips, длина 190 мм, 8 х 2 мм, "евростандарт".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Метод стерилизации: автоклавирование.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Внутренний диаметр разъема держателя для подключения монополярных инструментов 4 мм. Устройства для увеличения радиуса изгиба кабеля: эластичный кабельный вывод.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2 шт.</w:t>
            </w:r>
          </w:p>
        </w:tc>
      </w:tr>
      <w:tr w:rsidR="006A105C" w:rsidRPr="006A105C" w:rsidTr="006A105C">
        <w:trPr>
          <w:trHeight w:val="422"/>
          <w:jc w:val="center"/>
        </w:trPr>
        <w:tc>
          <w:tcPr>
            <w:tcW w:w="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lang w:val="kk-KZ"/>
              </w:rPr>
            </w:pPr>
            <w:r w:rsidRPr="006A105C">
              <w:rPr>
                <w:lang w:val="kk-KZ"/>
              </w:rPr>
              <w:t>Пинцет прямой, 250 мм.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 xml:space="preserve">Биполярные инструменты (пинцеты) различной конфигурации – 1шт. Конфигурация: пинцет прямой антипригарный CLEANTips, длина 250 мм, 8 х 2 мм, "евростандарт" 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Метод стерилизации: автоклавирование.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Внутренний диаметр разъема держателя для подключения монополярных инструментов 4 мм. Устройства для увеличения радиуса изгиба кабеля: эластичный кабельный вывод.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2 шт.</w:t>
            </w:r>
          </w:p>
        </w:tc>
      </w:tr>
      <w:tr w:rsidR="006A105C" w:rsidRPr="006A105C" w:rsidTr="006A105C">
        <w:trPr>
          <w:trHeight w:val="141"/>
          <w:jc w:val="center"/>
        </w:trPr>
        <w:tc>
          <w:tcPr>
            <w:tcW w:w="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11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i/>
              </w:rPr>
            </w:pPr>
            <w:r w:rsidRPr="006A105C">
              <w:rPr>
                <w:i/>
              </w:rPr>
              <w:t>Расходные материалы и изнашиваемые узлы:</w:t>
            </w:r>
          </w:p>
        </w:tc>
      </w:tr>
      <w:tr w:rsidR="006A105C" w:rsidRPr="006A105C" w:rsidTr="006A105C">
        <w:trPr>
          <w:trHeight w:val="141"/>
          <w:jc w:val="center"/>
        </w:trPr>
        <w:tc>
          <w:tcPr>
            <w:tcW w:w="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Электрод-шар с изоляцией, 4 мм.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 xml:space="preserve">Монополярный инструмент, электрод-шарик антипригарный </w:t>
            </w:r>
            <w:r w:rsidRPr="006A105C">
              <w:rPr>
                <w:lang w:val="en-US"/>
              </w:rPr>
              <w:t>CLEANTips</w:t>
            </w:r>
            <w:r w:rsidRPr="006A105C">
              <w:t xml:space="preserve"> 4 мм, удлиненный стержень. Метод стерилизации: автоклавирование. Диаметр штекера 4 мм. Тип позиционирующего элемента: шестигранник из изолирующего материала. Рабочие кончики электродов для контактной коагуляции обладают антипригарными свойствами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1 шт.</w:t>
            </w:r>
          </w:p>
        </w:tc>
      </w:tr>
      <w:tr w:rsidR="006A105C" w:rsidRPr="006A105C" w:rsidTr="006A105C">
        <w:trPr>
          <w:trHeight w:val="141"/>
          <w:jc w:val="center"/>
        </w:trPr>
        <w:tc>
          <w:tcPr>
            <w:tcW w:w="8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Электрод-нож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Монополярный инструмент, электрод-нож, сечение 2 х 0,5 мм; 4 мм (2шт). Метод стерилизации: автоклавирование. Диаметр штекера 4 мм. Тип позиционирующего элемента: шестигранник из изолирующего материала. Рабочие кончики электродов для контактной коагуляции обладают антипригарными свойствами.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2 шт.</w:t>
            </w:r>
          </w:p>
        </w:tc>
      </w:tr>
      <w:tr w:rsidR="006A105C" w:rsidRPr="006A105C" w:rsidTr="006A105C">
        <w:trPr>
          <w:trHeight w:val="141"/>
          <w:jc w:val="center"/>
        </w:trPr>
        <w:tc>
          <w:tcPr>
            <w:tcW w:w="8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Электрод-шар, 4 мм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 xml:space="preserve">Монополярный инструмент, электрод-шарик антипригарный </w:t>
            </w:r>
            <w:r w:rsidRPr="006A105C">
              <w:rPr>
                <w:lang w:val="en-US"/>
              </w:rPr>
              <w:t>CLEANTips</w:t>
            </w:r>
            <w:r w:rsidRPr="006A105C">
              <w:t xml:space="preserve"> 4 мм. Метод стерилизации: автоклавирование. Диаметр штекера 4 мм. Тип позиционирующего элемента: шестигранник из изолирующего материала. Рабочие кончики электродов для контактной коагуляции обладают антипригарными свойствами.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1 шт.</w:t>
            </w:r>
          </w:p>
        </w:tc>
      </w:tr>
      <w:tr w:rsidR="006A105C" w:rsidRPr="006A105C" w:rsidTr="006A105C">
        <w:trPr>
          <w:trHeight w:val="141"/>
          <w:jc w:val="center"/>
        </w:trPr>
        <w:tc>
          <w:tcPr>
            <w:tcW w:w="8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Электрод-игла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Монополярный инструмент, электрод-игла микродиссекционный, рабочая длина 40 мм. Метод стерилизации: автоклавирование. Диаметр штекера 4 мм. Тип позиционирующего элемента: шестигранник из изолирующего материала. Рабочие кончики электродов для контактной коагуляции обладают антипригарными свойствами.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2 шт.</w:t>
            </w:r>
          </w:p>
        </w:tc>
      </w:tr>
      <w:tr w:rsidR="006A105C" w:rsidRPr="006A105C" w:rsidTr="006A105C">
        <w:trPr>
          <w:trHeight w:val="467"/>
          <w:jc w:val="center"/>
        </w:trPr>
        <w:tc>
          <w:tcPr>
            <w:tcW w:w="8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Электрод-петля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Монополярный инструмент, электрод-петля 5 х 0,2 мм. Метод стерилизации: автоклавирование. Диаметр штекера 4 мм. Тип позиционирующего элемента: шестигранник из изолирующего материала. Рабочие кончики электродов для контактной коагуляции обладают антипригарными свойствами.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2 шт.</w:t>
            </w:r>
          </w:p>
        </w:tc>
      </w:tr>
      <w:tr w:rsidR="006A105C" w:rsidRPr="006A105C" w:rsidTr="006A105C">
        <w:trPr>
          <w:trHeight w:val="141"/>
          <w:jc w:val="center"/>
        </w:trPr>
        <w:tc>
          <w:tcPr>
            <w:tcW w:w="8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Электрод-крючок с изоляцией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Монополярный инструмент, электрод-крючок, удлиненный стержень, фиксация на держателе. Метод стерилизации: автоклавирование. Диаметр штекера 4 мм. Тип позиционирующего элемента: шестигранник из изолирующего материала. Рабочие кончики электродов для контактной коагуляции обладают антипригарными свойствами.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1 шт.</w:t>
            </w:r>
          </w:p>
        </w:tc>
      </w:tr>
      <w:tr w:rsidR="006A105C" w:rsidRPr="006A105C" w:rsidTr="006A105C">
        <w:trPr>
          <w:trHeight w:val="141"/>
          <w:jc w:val="center"/>
        </w:trPr>
        <w:tc>
          <w:tcPr>
            <w:tcW w:w="8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Электрод нож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Монополярный инструмент, электрод-нож, сечение 2 х 0,5 мм. удлиненный стержень. Метод стерилизации: автоклавирование. Диаметр штекера 4 мм. Тип позиционирующего элемента: шестигранник из изолирующего материала. Рабочие кончики электродов для контактной коагуляции обладают антипригарными свойствами.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1 шт.</w:t>
            </w:r>
          </w:p>
        </w:tc>
      </w:tr>
      <w:tr w:rsidR="006A105C" w:rsidRPr="006A105C" w:rsidTr="006A105C">
        <w:trPr>
          <w:trHeight w:val="141"/>
          <w:jc w:val="center"/>
        </w:trPr>
        <w:tc>
          <w:tcPr>
            <w:tcW w:w="8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Нейтральный электрод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Нейтральный электрод из токопроводящей резины, 240 х 170 мм, 408 см кв.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1 шт.</w:t>
            </w:r>
          </w:p>
        </w:tc>
      </w:tr>
      <w:tr w:rsidR="006A105C" w:rsidRPr="006A105C" w:rsidTr="006A105C">
        <w:trPr>
          <w:trHeight w:val="141"/>
          <w:jc w:val="center"/>
        </w:trPr>
        <w:tc>
          <w:tcPr>
            <w:tcW w:w="8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lang w:val="kk-KZ"/>
              </w:rPr>
            </w:pPr>
            <w:r w:rsidRPr="006A105C">
              <w:rPr>
                <w:lang w:val="kk-KZ"/>
              </w:rPr>
              <w:t>Нейтральный электрод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Электрод нейтральный (возвратный), электрохирургический, одноразового использования, нестерильный, разделенный для пациента массой более 15 кг (25 шт/упак.)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rPr>
                <w:lang w:val="kk-KZ"/>
              </w:rPr>
              <w:t>1 уп</w:t>
            </w:r>
            <w:r w:rsidRPr="006A105C">
              <w:t>.</w:t>
            </w:r>
          </w:p>
        </w:tc>
      </w:tr>
      <w:tr w:rsidR="006A105C" w:rsidRPr="006A105C" w:rsidTr="006A105C">
        <w:trPr>
          <w:trHeight w:val="141"/>
          <w:jc w:val="center"/>
        </w:trPr>
        <w:tc>
          <w:tcPr>
            <w:tcW w:w="8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37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Cs/>
              </w:rPr>
            </w:pPr>
            <w:r w:rsidRPr="006A105C">
              <w:rPr>
                <w:bCs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rPr>
                <w:lang w:val="kk-KZ"/>
              </w:rPr>
              <w:t>Нейтральный электрод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Электрод нейтральный (возвратный), электрохирургический, одноразового использования, нестерильный в варианте исполнения 1 (горизонтальное), разделенный для пациента массой более 15 кг (25 шт/упак.)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1 уп.</w:t>
            </w:r>
          </w:p>
        </w:tc>
      </w:tr>
      <w:tr w:rsidR="006A105C" w:rsidRPr="006A105C" w:rsidTr="006A105C">
        <w:trPr>
          <w:trHeight w:val="47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  <w:bCs/>
              </w:rPr>
            </w:pPr>
            <w:r w:rsidRPr="006A105C">
              <w:rPr>
                <w:b/>
              </w:rPr>
              <w:t>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1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Требование к питанию: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 xml:space="preserve"> 220 - 240 В (номинальное), 50/60Гц.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Условия эксплуатации:</w:t>
            </w:r>
            <w:r w:rsidRPr="006A105C">
              <w:tab/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Температура: от + 1 °C до + 55 °C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 xml:space="preserve">Относительная влажность: </w:t>
            </w:r>
            <w:r w:rsidRPr="006A105C">
              <w:rPr>
                <w:bCs/>
              </w:rPr>
              <w:t>от 30 до 75 %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 xml:space="preserve">Атмосферное давление: </w:t>
            </w:r>
            <w:r w:rsidRPr="006A105C">
              <w:rPr>
                <w:bCs/>
              </w:rPr>
              <w:t>от 70 до 110 кПа</w:t>
            </w:r>
          </w:p>
        </w:tc>
      </w:tr>
      <w:tr w:rsidR="006A105C" w:rsidRPr="006A105C" w:rsidTr="006A105C">
        <w:trPr>
          <w:trHeight w:val="47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  <w:r w:rsidRPr="006A105C">
              <w:rPr>
                <w:b/>
              </w:rPr>
              <w:lastRenderedPageBreak/>
              <w:t>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rPr>
                <w:b/>
              </w:rPr>
              <w:t xml:space="preserve">Условия осуществления поставки медицинской техники </w:t>
            </w:r>
            <w:r w:rsidRPr="006A105C">
              <w:t>(в соответствии с ИНКОТЕРМС 2010)</w:t>
            </w:r>
          </w:p>
        </w:tc>
        <w:tc>
          <w:tcPr>
            <w:tcW w:w="11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rPr>
                <w:lang w:val="en-US"/>
              </w:rPr>
              <w:t>DDP</w:t>
            </w:r>
            <w:r w:rsidRPr="006A105C">
              <w:t xml:space="preserve"> СКО, Жамбылский район, с. Пресновка, ул. Довженко, д.46, индекс 150600</w:t>
            </w:r>
          </w:p>
        </w:tc>
      </w:tr>
      <w:tr w:rsidR="006A105C" w:rsidRPr="006A105C" w:rsidTr="006A105C">
        <w:trPr>
          <w:trHeight w:val="47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  <w:r w:rsidRPr="006A105C">
              <w:rPr>
                <w:b/>
              </w:rPr>
              <w:t>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11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60 календарных дней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 xml:space="preserve">Адрес: </w:t>
            </w:r>
            <w:r w:rsidRPr="006A105C">
              <w:rPr>
                <w:lang w:val="kk-KZ"/>
              </w:rPr>
              <w:t>СКО, Жамбылский район, с. Пресновка, ул. Довженко, д.46, индекс 150600</w:t>
            </w:r>
          </w:p>
        </w:tc>
      </w:tr>
      <w:tr w:rsidR="006A105C" w:rsidRPr="006A105C" w:rsidTr="006A105C">
        <w:trPr>
          <w:trHeight w:val="136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  <w:rPr>
                <w:b/>
              </w:rPr>
            </w:pPr>
            <w:r w:rsidRPr="006A105C">
              <w:rPr>
                <w:b/>
              </w:rPr>
              <w:t>6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Гарантийное сервисное обслуживание медицинской техники не менее 37 месяцев.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Плановое техническое обслуживание должно проводиться не реже чем 1 раз в квартал.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- замену отработавших ресурс составных частей;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- замене или восстановлении отдельных частей медицинской техники;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- чистку, смазку и при необходимости переборку основных механизмов и узлов;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6A105C" w:rsidRPr="006A105C" w:rsidRDefault="006A105C" w:rsidP="006A105C">
            <w:pPr>
              <w:widowControl w:val="0"/>
              <w:shd w:val="clear" w:color="auto" w:fill="FFFFFF"/>
            </w:pPr>
            <w:r w:rsidRPr="006A105C"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1F2717" w:rsidRPr="006A105C" w:rsidRDefault="001F2717" w:rsidP="00D7357D">
      <w:pPr>
        <w:widowControl w:val="0"/>
        <w:shd w:val="clear" w:color="auto" w:fill="FFFFFF"/>
      </w:pPr>
    </w:p>
    <w:p w:rsidR="00D7357D" w:rsidRPr="00C9222A" w:rsidRDefault="00D7357D" w:rsidP="00D7357D">
      <w:pPr>
        <w:widowControl w:val="0"/>
        <w:shd w:val="clear" w:color="auto" w:fill="FFFFFF"/>
      </w:pPr>
      <w:r w:rsidRPr="00C9222A">
        <w:t>Требования к медицинской технике:</w:t>
      </w:r>
    </w:p>
    <w:p w:rsidR="00D7357D" w:rsidRPr="00C9222A" w:rsidRDefault="00D7357D" w:rsidP="00D7357D">
      <w:pPr>
        <w:ind w:firstLine="708"/>
        <w:jc w:val="both"/>
      </w:pPr>
      <w:r w:rsidRPr="00C9222A">
        <w:rPr>
          <w:color w:val="000000"/>
        </w:rPr>
        <w:t>1) 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D7357D" w:rsidRPr="00C9222A" w:rsidRDefault="00D7357D" w:rsidP="00D7357D">
      <w:pPr>
        <w:jc w:val="both"/>
      </w:pPr>
      <w:bookmarkStart w:id="1" w:name="z132"/>
      <w:r w:rsidRPr="00C9222A">
        <w:rPr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D7357D" w:rsidRPr="00C9222A" w:rsidRDefault="00D7357D" w:rsidP="00D7357D">
      <w:pPr>
        <w:jc w:val="both"/>
      </w:pPr>
      <w:bookmarkStart w:id="2" w:name="z133"/>
      <w:bookmarkEnd w:id="1"/>
      <w:r w:rsidRPr="00C9222A">
        <w:rPr>
          <w:color w:val="000000"/>
        </w:rPr>
        <w:t xml:space="preserve">      </w:t>
      </w:r>
      <w:r w:rsidRPr="00C9222A">
        <w:rPr>
          <w:color w:val="000000"/>
        </w:rPr>
        <w:tab/>
        <w:t>2) соответствие характеристики или технической спецификации условиям объявления или приглашения на закуп.</w:t>
      </w:r>
    </w:p>
    <w:p w:rsidR="00D7357D" w:rsidRPr="00C9222A" w:rsidRDefault="00D7357D" w:rsidP="00D7357D">
      <w:pPr>
        <w:jc w:val="both"/>
      </w:pPr>
      <w:bookmarkStart w:id="3" w:name="z134"/>
      <w:bookmarkEnd w:id="2"/>
      <w:r w:rsidRPr="00C9222A">
        <w:rPr>
          <w:color w:val="000000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D7357D" w:rsidRPr="00C9222A" w:rsidRDefault="00D7357D" w:rsidP="00D7357D">
      <w:pPr>
        <w:jc w:val="both"/>
      </w:pPr>
      <w:bookmarkStart w:id="4" w:name="z135"/>
      <w:bookmarkEnd w:id="3"/>
      <w:r w:rsidRPr="00C9222A">
        <w:rPr>
          <w:color w:val="000000"/>
        </w:rPr>
        <w:t xml:space="preserve">       </w:t>
      </w:r>
      <w:r w:rsidRPr="00C9222A">
        <w:rPr>
          <w:color w:val="000000"/>
        </w:rPr>
        <w:tab/>
        <w:t>3) 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D7357D" w:rsidRPr="00C9222A" w:rsidRDefault="00D7357D" w:rsidP="00D7357D">
      <w:pPr>
        <w:jc w:val="both"/>
      </w:pPr>
      <w:bookmarkStart w:id="5" w:name="z136"/>
      <w:bookmarkEnd w:id="4"/>
      <w:r w:rsidRPr="00C9222A">
        <w:rPr>
          <w:color w:val="000000"/>
        </w:rPr>
        <w:lastRenderedPageBreak/>
        <w:t xml:space="preserve">       </w:t>
      </w:r>
      <w:r w:rsidRPr="00C9222A">
        <w:rPr>
          <w:color w:val="000000"/>
        </w:rPr>
        <w:tab/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D7357D" w:rsidRPr="00C9222A" w:rsidRDefault="00D7357D" w:rsidP="00D7357D">
      <w:pPr>
        <w:jc w:val="both"/>
      </w:pPr>
      <w:bookmarkStart w:id="6" w:name="z137"/>
      <w:bookmarkEnd w:id="5"/>
      <w:r w:rsidRPr="00C9222A">
        <w:rPr>
          <w:color w:val="000000"/>
        </w:rPr>
        <w:t xml:space="preserve">      </w:t>
      </w:r>
      <w:r w:rsidRPr="00C9222A">
        <w:rPr>
          <w:color w:val="000000"/>
        </w:rPr>
        <w:tab/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  <w:bookmarkStart w:id="7" w:name="z150"/>
      <w:bookmarkEnd w:id="6"/>
    </w:p>
    <w:p w:rsidR="00D7357D" w:rsidRPr="00C9222A" w:rsidRDefault="00D7357D" w:rsidP="00D7357D">
      <w:pPr>
        <w:jc w:val="both"/>
      </w:pPr>
      <w:bookmarkStart w:id="8" w:name="z151"/>
      <w:bookmarkEnd w:id="7"/>
      <w:r w:rsidRPr="00C9222A">
        <w:rPr>
          <w:color w:val="000000"/>
        </w:rPr>
        <w:t>     </w:t>
      </w:r>
      <w:r w:rsidRPr="00C9222A">
        <w:rPr>
          <w:color w:val="000000"/>
        </w:rPr>
        <w:tab/>
        <w:t xml:space="preserve"> 6)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:rsidR="00D7357D" w:rsidRPr="00C9222A" w:rsidRDefault="00D7357D" w:rsidP="00D7357D">
      <w:pPr>
        <w:jc w:val="both"/>
      </w:pPr>
      <w:bookmarkStart w:id="9" w:name="z152"/>
      <w:bookmarkEnd w:id="8"/>
      <w:r w:rsidRPr="00C9222A">
        <w:rPr>
          <w:color w:val="000000"/>
        </w:rPr>
        <w:t>     </w:t>
      </w:r>
      <w:r w:rsidRPr="00C9222A">
        <w:rPr>
          <w:color w:val="000000"/>
        </w:rPr>
        <w:tab/>
        <w:t xml:space="preserve"> 7)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D7357D" w:rsidRPr="00C9222A" w:rsidRDefault="00D7357D" w:rsidP="00D7357D">
      <w:pPr>
        <w:jc w:val="both"/>
        <w:rPr>
          <w:color w:val="000000"/>
        </w:rPr>
      </w:pPr>
      <w:bookmarkStart w:id="10" w:name="z153"/>
      <w:bookmarkEnd w:id="9"/>
      <w:r w:rsidRPr="00C9222A">
        <w:rPr>
          <w:color w:val="000000"/>
        </w:rPr>
        <w:t>     </w:t>
      </w:r>
      <w:r w:rsidRPr="00C9222A">
        <w:rPr>
          <w:color w:val="000000"/>
        </w:rPr>
        <w:tab/>
        <w:t xml:space="preserve">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5A3366" w:rsidRPr="00C9222A" w:rsidRDefault="005A3366" w:rsidP="00D7357D">
      <w:pPr>
        <w:jc w:val="both"/>
      </w:pPr>
      <w:r w:rsidRPr="00C9222A">
        <w:rPr>
          <w:color w:val="000000"/>
        </w:rPr>
        <w:t xml:space="preserve">         </w:t>
      </w:r>
      <w:r w:rsidR="00AD4784" w:rsidRPr="00C9222A">
        <w:rPr>
          <w:color w:val="000000"/>
        </w:rPr>
        <w:t xml:space="preserve">      </w:t>
      </w:r>
      <w:r w:rsidRPr="00C9222A">
        <w:rPr>
          <w:color w:val="000000"/>
        </w:rPr>
        <w:t xml:space="preserve"> 8) соблюдение количества, качества и сроков поставки условиям договора</w:t>
      </w:r>
    </w:p>
    <w:p w:rsidR="00D7357D" w:rsidRPr="00C9222A" w:rsidRDefault="00D7357D" w:rsidP="00D7357D">
      <w:pPr>
        <w:jc w:val="both"/>
      </w:pPr>
      <w:bookmarkStart w:id="11" w:name="z154"/>
      <w:bookmarkEnd w:id="10"/>
      <w:r w:rsidRPr="00C9222A">
        <w:rPr>
          <w:color w:val="000000"/>
        </w:rPr>
        <w:t>     </w:t>
      </w:r>
      <w:bookmarkStart w:id="12" w:name="z155"/>
      <w:bookmarkEnd w:id="11"/>
      <w:r w:rsidR="00AD4784" w:rsidRPr="00C9222A">
        <w:rPr>
          <w:color w:val="000000"/>
        </w:rPr>
        <w:t> </w:t>
      </w:r>
      <w:r w:rsidR="00AD4784" w:rsidRPr="00C9222A">
        <w:rPr>
          <w:color w:val="000000"/>
        </w:rPr>
        <w:tab/>
        <w:t> </w:t>
      </w:r>
      <w:r w:rsidRPr="00C9222A">
        <w:rPr>
          <w:color w:val="000000"/>
        </w:rPr>
        <w:t xml:space="preserve">Условия, предусмотренные подпунктами 4), 5), 6), </w:t>
      </w:r>
      <w:r w:rsidR="00E83B88" w:rsidRPr="00C9222A">
        <w:rPr>
          <w:color w:val="000000"/>
        </w:rPr>
        <w:t xml:space="preserve">7), 8), </w:t>
      </w:r>
      <w:r w:rsidRPr="00C9222A">
        <w:rPr>
          <w:color w:val="000000"/>
        </w:rPr>
        <w:t>пункта 11 настоящих Правил, подтверждаются поставщиком при исполнении договора поставки или закупа.</w:t>
      </w:r>
      <w:bookmarkEnd w:id="12"/>
    </w:p>
    <w:p w:rsidR="00D7357D" w:rsidRDefault="00D7357D" w:rsidP="00D7357D"/>
    <w:p w:rsidR="000E5680" w:rsidRDefault="000E5680" w:rsidP="00D7357D"/>
    <w:p w:rsidR="00B33605" w:rsidRDefault="00B33605" w:rsidP="00D7357D"/>
    <w:p w:rsidR="00B33605" w:rsidRDefault="00B33605" w:rsidP="00D7357D"/>
    <w:p w:rsidR="00B33605" w:rsidRDefault="00B33605" w:rsidP="00D7357D"/>
    <w:p w:rsidR="00B33605" w:rsidRPr="00C9222A" w:rsidRDefault="00B33605" w:rsidP="00D7357D"/>
    <w:p w:rsidR="009038F8" w:rsidRPr="000E5680" w:rsidRDefault="00541ECD" w:rsidP="000E5680">
      <w:pPr>
        <w:widowControl w:val="0"/>
        <w:jc w:val="center"/>
        <w:rPr>
          <w:b/>
          <w:lang w:val="kk-KZ"/>
        </w:rPr>
      </w:pPr>
      <w:r w:rsidRPr="00C9222A">
        <w:rPr>
          <w:b/>
          <w:lang w:val="kk-KZ"/>
        </w:rPr>
        <w:t>И.о.</w:t>
      </w:r>
      <w:r w:rsidR="000E5680">
        <w:rPr>
          <w:b/>
          <w:lang w:val="kk-KZ"/>
        </w:rPr>
        <w:t xml:space="preserve"> </w:t>
      </w:r>
      <w:r w:rsidRPr="00C9222A">
        <w:rPr>
          <w:b/>
          <w:lang w:val="kk-KZ"/>
        </w:rPr>
        <w:t>д</w:t>
      </w:r>
      <w:r w:rsidRPr="00C9222A">
        <w:rPr>
          <w:b/>
        </w:rPr>
        <w:t>иректор</w:t>
      </w:r>
      <w:r w:rsidRPr="00C9222A">
        <w:rPr>
          <w:b/>
          <w:lang w:val="kk-KZ"/>
        </w:rPr>
        <w:t>а</w:t>
      </w:r>
      <w:r w:rsidRPr="00C9222A">
        <w:rPr>
          <w:b/>
        </w:rPr>
        <w:t xml:space="preserve">  КГП на ПХВ «</w:t>
      </w:r>
      <w:r w:rsidR="000E5680">
        <w:rPr>
          <w:b/>
          <w:lang w:val="kk-KZ"/>
        </w:rPr>
        <w:t>Жамбылская</w:t>
      </w:r>
      <w:r w:rsidRPr="00C9222A">
        <w:rPr>
          <w:b/>
          <w:lang w:val="kk-KZ"/>
        </w:rPr>
        <w:t xml:space="preserve"> районная больница</w:t>
      </w:r>
      <w:r w:rsidR="00252111" w:rsidRPr="00C9222A">
        <w:rPr>
          <w:b/>
        </w:rPr>
        <w:t xml:space="preserve">»                                                      </w:t>
      </w:r>
      <w:r w:rsidR="000E5680">
        <w:rPr>
          <w:b/>
          <w:lang w:val="kk-KZ"/>
        </w:rPr>
        <w:t>Кашаганова Б.Т.</w:t>
      </w:r>
    </w:p>
    <w:sectPr w:rsidR="009038F8" w:rsidRPr="000E5680" w:rsidSect="00D7395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77" w:rsidRDefault="00602577">
      <w:r>
        <w:separator/>
      </w:r>
    </w:p>
  </w:endnote>
  <w:endnote w:type="continuationSeparator" w:id="0">
    <w:p w:rsidR="00602577" w:rsidRDefault="0060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77" w:rsidRDefault="00602577">
      <w:r>
        <w:separator/>
      </w:r>
    </w:p>
  </w:footnote>
  <w:footnote w:type="continuationSeparator" w:id="0">
    <w:p w:rsidR="00602577" w:rsidRDefault="0060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02D"/>
    <w:multiLevelType w:val="hybridMultilevel"/>
    <w:tmpl w:val="54DC0238"/>
    <w:lvl w:ilvl="0" w:tplc="F2F8BB4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37556"/>
    <w:multiLevelType w:val="hybridMultilevel"/>
    <w:tmpl w:val="878A51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BB17138"/>
    <w:multiLevelType w:val="multilevel"/>
    <w:tmpl w:val="D28A9CD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">
    <w:nsid w:val="2D2E7BFB"/>
    <w:multiLevelType w:val="hybridMultilevel"/>
    <w:tmpl w:val="2786C53C"/>
    <w:lvl w:ilvl="0" w:tplc="049C2258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F6FA6EA2">
      <w:start w:val="1"/>
      <w:numFmt w:val="lowerLetter"/>
      <w:lvlText w:val="%2."/>
      <w:lvlJc w:val="left"/>
      <w:pPr>
        <w:ind w:left="1222" w:hanging="360"/>
      </w:pPr>
    </w:lvl>
    <w:lvl w:ilvl="2" w:tplc="C2B2D4EC">
      <w:start w:val="1"/>
      <w:numFmt w:val="lowerRoman"/>
      <w:lvlText w:val="%3."/>
      <w:lvlJc w:val="right"/>
      <w:pPr>
        <w:ind w:left="1942" w:hanging="180"/>
      </w:pPr>
    </w:lvl>
    <w:lvl w:ilvl="3" w:tplc="F2044B68">
      <w:start w:val="1"/>
      <w:numFmt w:val="decimal"/>
      <w:lvlText w:val="%4."/>
      <w:lvlJc w:val="left"/>
      <w:pPr>
        <w:ind w:left="2662" w:hanging="360"/>
      </w:pPr>
    </w:lvl>
    <w:lvl w:ilvl="4" w:tplc="2AF0C84A">
      <w:start w:val="1"/>
      <w:numFmt w:val="lowerLetter"/>
      <w:lvlText w:val="%5."/>
      <w:lvlJc w:val="left"/>
      <w:pPr>
        <w:ind w:left="3382" w:hanging="360"/>
      </w:pPr>
    </w:lvl>
    <w:lvl w:ilvl="5" w:tplc="365815A2">
      <w:start w:val="1"/>
      <w:numFmt w:val="lowerRoman"/>
      <w:lvlText w:val="%6."/>
      <w:lvlJc w:val="right"/>
      <w:pPr>
        <w:ind w:left="4102" w:hanging="180"/>
      </w:pPr>
    </w:lvl>
    <w:lvl w:ilvl="6" w:tplc="3446B9EA">
      <w:start w:val="1"/>
      <w:numFmt w:val="decimal"/>
      <w:lvlText w:val="%7."/>
      <w:lvlJc w:val="left"/>
      <w:pPr>
        <w:ind w:left="4822" w:hanging="360"/>
      </w:pPr>
    </w:lvl>
    <w:lvl w:ilvl="7" w:tplc="D5EA23CA">
      <w:start w:val="1"/>
      <w:numFmt w:val="lowerLetter"/>
      <w:lvlText w:val="%8."/>
      <w:lvlJc w:val="left"/>
      <w:pPr>
        <w:ind w:left="5542" w:hanging="360"/>
      </w:pPr>
    </w:lvl>
    <w:lvl w:ilvl="8" w:tplc="6D20E296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6D4ECF"/>
    <w:multiLevelType w:val="hybridMultilevel"/>
    <w:tmpl w:val="3146A9D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7222000"/>
    <w:multiLevelType w:val="hybridMultilevel"/>
    <w:tmpl w:val="5034621A"/>
    <w:lvl w:ilvl="0" w:tplc="A06E219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908C7"/>
    <w:multiLevelType w:val="hybridMultilevel"/>
    <w:tmpl w:val="F9EA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272F1"/>
    <w:multiLevelType w:val="hybridMultilevel"/>
    <w:tmpl w:val="C1265514"/>
    <w:lvl w:ilvl="0" w:tplc="3496CF96">
      <w:numFmt w:val="bullet"/>
      <w:lvlText w:val=""/>
      <w:lvlJc w:val="left"/>
      <w:pPr>
        <w:ind w:left="1840" w:hanging="360"/>
      </w:pPr>
      <w:rPr>
        <w:rFonts w:ascii="Symbol" w:eastAsia="Symbol" w:hAnsi="Symbol"/>
        <w:sz w:val="24"/>
        <w:szCs w:val="24"/>
        <w:lang w:val="ru-RU" w:eastAsia="en-US" w:bidi="ar-SA"/>
      </w:rPr>
    </w:lvl>
    <w:lvl w:ilvl="1" w:tplc="6AACE4E2">
      <w:numFmt w:val="bullet"/>
      <w:lvlText w:val=""/>
      <w:lvlJc w:val="left"/>
      <w:pPr>
        <w:ind w:left="1934" w:hanging="358"/>
      </w:pPr>
      <w:rPr>
        <w:rFonts w:ascii="Symbol" w:eastAsia="Symbol" w:hAnsi="Symbol"/>
        <w:sz w:val="24"/>
        <w:szCs w:val="24"/>
        <w:lang w:val="ru-RU" w:eastAsia="en-US" w:bidi="ar-SA"/>
      </w:rPr>
    </w:lvl>
    <w:lvl w:ilvl="2" w:tplc="4660453E">
      <w:numFmt w:val="bullet"/>
      <w:lvlText w:val="•"/>
      <w:lvlJc w:val="left"/>
      <w:pPr>
        <w:ind w:left="3025" w:hanging="358"/>
      </w:pPr>
      <w:rPr>
        <w:lang w:val="ru-RU" w:eastAsia="en-US" w:bidi="ar-SA"/>
      </w:rPr>
    </w:lvl>
    <w:lvl w:ilvl="3" w:tplc="ECECB96C">
      <w:numFmt w:val="bullet"/>
      <w:lvlText w:val="•"/>
      <w:lvlJc w:val="left"/>
      <w:pPr>
        <w:ind w:left="4111" w:hanging="358"/>
      </w:pPr>
      <w:rPr>
        <w:lang w:val="ru-RU" w:eastAsia="en-US" w:bidi="ar-SA"/>
      </w:rPr>
    </w:lvl>
    <w:lvl w:ilvl="4" w:tplc="DDF210EC">
      <w:numFmt w:val="bullet"/>
      <w:lvlText w:val="•"/>
      <w:lvlJc w:val="left"/>
      <w:pPr>
        <w:ind w:left="5197" w:hanging="358"/>
      </w:pPr>
      <w:rPr>
        <w:lang w:val="ru-RU" w:eastAsia="en-US" w:bidi="ar-SA"/>
      </w:rPr>
    </w:lvl>
    <w:lvl w:ilvl="5" w:tplc="7E7025C4">
      <w:numFmt w:val="bullet"/>
      <w:lvlText w:val="•"/>
      <w:lvlJc w:val="left"/>
      <w:pPr>
        <w:ind w:left="6282" w:hanging="358"/>
      </w:pPr>
      <w:rPr>
        <w:lang w:val="ru-RU" w:eastAsia="en-US" w:bidi="ar-SA"/>
      </w:rPr>
    </w:lvl>
    <w:lvl w:ilvl="6" w:tplc="265039C6">
      <w:numFmt w:val="bullet"/>
      <w:lvlText w:val="•"/>
      <w:lvlJc w:val="left"/>
      <w:pPr>
        <w:ind w:left="7368" w:hanging="358"/>
      </w:pPr>
      <w:rPr>
        <w:lang w:val="ru-RU" w:eastAsia="en-US" w:bidi="ar-SA"/>
      </w:rPr>
    </w:lvl>
    <w:lvl w:ilvl="7" w:tplc="CBB200FA">
      <w:numFmt w:val="bullet"/>
      <w:lvlText w:val="•"/>
      <w:lvlJc w:val="left"/>
      <w:pPr>
        <w:ind w:left="8454" w:hanging="358"/>
      </w:pPr>
      <w:rPr>
        <w:lang w:val="ru-RU" w:eastAsia="en-US" w:bidi="ar-SA"/>
      </w:rPr>
    </w:lvl>
    <w:lvl w:ilvl="8" w:tplc="AFBAF310">
      <w:numFmt w:val="bullet"/>
      <w:lvlText w:val="•"/>
      <w:lvlJc w:val="left"/>
      <w:pPr>
        <w:ind w:left="9539" w:hanging="358"/>
      </w:pPr>
      <w:rPr>
        <w:lang w:val="ru-RU" w:eastAsia="en-US" w:bidi="ar-SA"/>
      </w:rPr>
    </w:lvl>
  </w:abstractNum>
  <w:abstractNum w:abstractNumId="8">
    <w:nsid w:val="6BB7138D"/>
    <w:multiLevelType w:val="multilevel"/>
    <w:tmpl w:val="540EF6B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7DE767AB"/>
    <w:multiLevelType w:val="hybridMultilevel"/>
    <w:tmpl w:val="9F425504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8F8"/>
    <w:rsid w:val="00002C74"/>
    <w:rsid w:val="0002544D"/>
    <w:rsid w:val="00033AEE"/>
    <w:rsid w:val="00041A32"/>
    <w:rsid w:val="00063212"/>
    <w:rsid w:val="00065DED"/>
    <w:rsid w:val="000714C4"/>
    <w:rsid w:val="00093899"/>
    <w:rsid w:val="00096710"/>
    <w:rsid w:val="000C59AD"/>
    <w:rsid w:val="000E5680"/>
    <w:rsid w:val="001077FA"/>
    <w:rsid w:val="0011148D"/>
    <w:rsid w:val="0012378A"/>
    <w:rsid w:val="00132339"/>
    <w:rsid w:val="001435E8"/>
    <w:rsid w:val="00194C01"/>
    <w:rsid w:val="001B5A6C"/>
    <w:rsid w:val="001C5F44"/>
    <w:rsid w:val="001C72F7"/>
    <w:rsid w:val="001D1E1B"/>
    <w:rsid w:val="001D35FA"/>
    <w:rsid w:val="001D4FAC"/>
    <w:rsid w:val="001F2717"/>
    <w:rsid w:val="001F3F79"/>
    <w:rsid w:val="001F7286"/>
    <w:rsid w:val="00204D46"/>
    <w:rsid w:val="00206601"/>
    <w:rsid w:val="00224E1F"/>
    <w:rsid w:val="0023028D"/>
    <w:rsid w:val="0023368A"/>
    <w:rsid w:val="00236220"/>
    <w:rsid w:val="00240EFA"/>
    <w:rsid w:val="00252111"/>
    <w:rsid w:val="0027110D"/>
    <w:rsid w:val="00297F4A"/>
    <w:rsid w:val="002A3E11"/>
    <w:rsid w:val="002C5CBE"/>
    <w:rsid w:val="002C60BF"/>
    <w:rsid w:val="002F5A45"/>
    <w:rsid w:val="0031019E"/>
    <w:rsid w:val="00333B4B"/>
    <w:rsid w:val="003378DB"/>
    <w:rsid w:val="0034222B"/>
    <w:rsid w:val="00357F8E"/>
    <w:rsid w:val="0036243C"/>
    <w:rsid w:val="00366EF9"/>
    <w:rsid w:val="00384835"/>
    <w:rsid w:val="0038565E"/>
    <w:rsid w:val="00387E16"/>
    <w:rsid w:val="00396B7B"/>
    <w:rsid w:val="003A26D7"/>
    <w:rsid w:val="003B10FF"/>
    <w:rsid w:val="003B157E"/>
    <w:rsid w:val="003C4C0E"/>
    <w:rsid w:val="003C4DBB"/>
    <w:rsid w:val="003D1C23"/>
    <w:rsid w:val="003D1DF5"/>
    <w:rsid w:val="004002F6"/>
    <w:rsid w:val="0040437B"/>
    <w:rsid w:val="00413B1A"/>
    <w:rsid w:val="0041484F"/>
    <w:rsid w:val="00420F98"/>
    <w:rsid w:val="004254A1"/>
    <w:rsid w:val="00433AD1"/>
    <w:rsid w:val="00442633"/>
    <w:rsid w:val="004658EA"/>
    <w:rsid w:val="0047154B"/>
    <w:rsid w:val="0048242D"/>
    <w:rsid w:val="004833FB"/>
    <w:rsid w:val="004B51F7"/>
    <w:rsid w:val="004B5E72"/>
    <w:rsid w:val="004C0298"/>
    <w:rsid w:val="004C27AD"/>
    <w:rsid w:val="004D5561"/>
    <w:rsid w:val="004E188E"/>
    <w:rsid w:val="004F7429"/>
    <w:rsid w:val="00517953"/>
    <w:rsid w:val="00541ECD"/>
    <w:rsid w:val="0055203F"/>
    <w:rsid w:val="0057048A"/>
    <w:rsid w:val="005769FF"/>
    <w:rsid w:val="00576B03"/>
    <w:rsid w:val="0058601C"/>
    <w:rsid w:val="00592CC2"/>
    <w:rsid w:val="005930E5"/>
    <w:rsid w:val="005A3366"/>
    <w:rsid w:val="005A6622"/>
    <w:rsid w:val="005D56BF"/>
    <w:rsid w:val="005E0B3D"/>
    <w:rsid w:val="005F156D"/>
    <w:rsid w:val="0060223E"/>
    <w:rsid w:val="00602577"/>
    <w:rsid w:val="00604070"/>
    <w:rsid w:val="00637029"/>
    <w:rsid w:val="006426DA"/>
    <w:rsid w:val="00653271"/>
    <w:rsid w:val="00672992"/>
    <w:rsid w:val="006915D2"/>
    <w:rsid w:val="0069481A"/>
    <w:rsid w:val="006A105C"/>
    <w:rsid w:val="006B5344"/>
    <w:rsid w:val="006B658F"/>
    <w:rsid w:val="006C0231"/>
    <w:rsid w:val="006C2D0F"/>
    <w:rsid w:val="006F27D7"/>
    <w:rsid w:val="007005DC"/>
    <w:rsid w:val="00704F1B"/>
    <w:rsid w:val="007302AC"/>
    <w:rsid w:val="00750C27"/>
    <w:rsid w:val="00751932"/>
    <w:rsid w:val="00762F70"/>
    <w:rsid w:val="007C14C3"/>
    <w:rsid w:val="007C1AAB"/>
    <w:rsid w:val="007F04FF"/>
    <w:rsid w:val="007F056F"/>
    <w:rsid w:val="007F28BB"/>
    <w:rsid w:val="00800AD4"/>
    <w:rsid w:val="00802E6F"/>
    <w:rsid w:val="00814466"/>
    <w:rsid w:val="00817B3D"/>
    <w:rsid w:val="00836F8C"/>
    <w:rsid w:val="008415C0"/>
    <w:rsid w:val="00861435"/>
    <w:rsid w:val="00871045"/>
    <w:rsid w:val="00881D69"/>
    <w:rsid w:val="00891A2B"/>
    <w:rsid w:val="008A61D8"/>
    <w:rsid w:val="008B1033"/>
    <w:rsid w:val="008B5309"/>
    <w:rsid w:val="008D7D12"/>
    <w:rsid w:val="008F2374"/>
    <w:rsid w:val="008F7EA1"/>
    <w:rsid w:val="009038F8"/>
    <w:rsid w:val="00925766"/>
    <w:rsid w:val="009261EE"/>
    <w:rsid w:val="00933099"/>
    <w:rsid w:val="009533FB"/>
    <w:rsid w:val="00963310"/>
    <w:rsid w:val="00970BDF"/>
    <w:rsid w:val="00975D6B"/>
    <w:rsid w:val="00995217"/>
    <w:rsid w:val="009A2934"/>
    <w:rsid w:val="009C2F14"/>
    <w:rsid w:val="009C677F"/>
    <w:rsid w:val="009D45B6"/>
    <w:rsid w:val="009F0289"/>
    <w:rsid w:val="009F25FC"/>
    <w:rsid w:val="00A1317A"/>
    <w:rsid w:val="00A144BA"/>
    <w:rsid w:val="00A32094"/>
    <w:rsid w:val="00A45678"/>
    <w:rsid w:val="00A50BE9"/>
    <w:rsid w:val="00A53309"/>
    <w:rsid w:val="00A57C7A"/>
    <w:rsid w:val="00A62E37"/>
    <w:rsid w:val="00A665E5"/>
    <w:rsid w:val="00A67564"/>
    <w:rsid w:val="00A76611"/>
    <w:rsid w:val="00A81051"/>
    <w:rsid w:val="00AA7856"/>
    <w:rsid w:val="00AD2105"/>
    <w:rsid w:val="00AD4784"/>
    <w:rsid w:val="00AF087C"/>
    <w:rsid w:val="00B005CA"/>
    <w:rsid w:val="00B23E69"/>
    <w:rsid w:val="00B314CA"/>
    <w:rsid w:val="00B33119"/>
    <w:rsid w:val="00B33605"/>
    <w:rsid w:val="00B41174"/>
    <w:rsid w:val="00B51168"/>
    <w:rsid w:val="00B86411"/>
    <w:rsid w:val="00B959E8"/>
    <w:rsid w:val="00B95EF6"/>
    <w:rsid w:val="00B970E9"/>
    <w:rsid w:val="00BA3767"/>
    <w:rsid w:val="00BA37C4"/>
    <w:rsid w:val="00BA3EC5"/>
    <w:rsid w:val="00BA6148"/>
    <w:rsid w:val="00BD2A42"/>
    <w:rsid w:val="00BD7E0F"/>
    <w:rsid w:val="00BF3CE8"/>
    <w:rsid w:val="00C00A36"/>
    <w:rsid w:val="00C03488"/>
    <w:rsid w:val="00C20687"/>
    <w:rsid w:val="00C24051"/>
    <w:rsid w:val="00C4623E"/>
    <w:rsid w:val="00C50BDD"/>
    <w:rsid w:val="00C55531"/>
    <w:rsid w:val="00C8515E"/>
    <w:rsid w:val="00C9222A"/>
    <w:rsid w:val="00CB383C"/>
    <w:rsid w:val="00CC3B57"/>
    <w:rsid w:val="00CC6E61"/>
    <w:rsid w:val="00CE41E6"/>
    <w:rsid w:val="00CE4A0F"/>
    <w:rsid w:val="00D26233"/>
    <w:rsid w:val="00D375AF"/>
    <w:rsid w:val="00D4404D"/>
    <w:rsid w:val="00D45EF3"/>
    <w:rsid w:val="00D7357D"/>
    <w:rsid w:val="00D73955"/>
    <w:rsid w:val="00D745EC"/>
    <w:rsid w:val="00D75A43"/>
    <w:rsid w:val="00D85FDD"/>
    <w:rsid w:val="00DA5758"/>
    <w:rsid w:val="00DB613D"/>
    <w:rsid w:val="00DC0DFB"/>
    <w:rsid w:val="00DC6D49"/>
    <w:rsid w:val="00DD4B19"/>
    <w:rsid w:val="00E13AE0"/>
    <w:rsid w:val="00E157C9"/>
    <w:rsid w:val="00E206FF"/>
    <w:rsid w:val="00E26569"/>
    <w:rsid w:val="00E33259"/>
    <w:rsid w:val="00E356F8"/>
    <w:rsid w:val="00E35AB4"/>
    <w:rsid w:val="00E36C2F"/>
    <w:rsid w:val="00E45C5F"/>
    <w:rsid w:val="00E56545"/>
    <w:rsid w:val="00E70484"/>
    <w:rsid w:val="00E7192D"/>
    <w:rsid w:val="00E758AB"/>
    <w:rsid w:val="00E83B88"/>
    <w:rsid w:val="00EC3195"/>
    <w:rsid w:val="00EF5729"/>
    <w:rsid w:val="00F06317"/>
    <w:rsid w:val="00F12A38"/>
    <w:rsid w:val="00F21621"/>
    <w:rsid w:val="00F50E70"/>
    <w:rsid w:val="00F63C3B"/>
    <w:rsid w:val="00F65596"/>
    <w:rsid w:val="00F821A8"/>
    <w:rsid w:val="00F90639"/>
    <w:rsid w:val="00FA3A2B"/>
    <w:rsid w:val="00FA5E65"/>
    <w:rsid w:val="00FB113A"/>
    <w:rsid w:val="00FE71F5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2E52E-00E3-4D69-8BD6-94938AD3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6D4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6D49"/>
    <w:pPr>
      <w:keepNext/>
      <w:keepLines/>
      <w:spacing w:before="240"/>
      <w:outlineLvl w:val="0"/>
    </w:pPr>
    <w:rPr>
      <w:rFonts w:ascii="Cambria" w:eastAsia="Malgun Gothic" w:hAnsi="Cambria"/>
      <w:color w:val="365F91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C6D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DC6D49"/>
    <w:pPr>
      <w:keepNext/>
      <w:ind w:firstLine="720"/>
      <w:jc w:val="both"/>
      <w:outlineLvl w:val="2"/>
    </w:pPr>
    <w:rPr>
      <w:b/>
      <w:bCs/>
      <w:color w:val="00000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C6D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C6D4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C6D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6D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C6D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C6D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DC6D4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C6D4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C6D4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C6D4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C6D4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C6D4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C6D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C6D4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C6D4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DC6D49"/>
    <w:pPr>
      <w:ind w:left="720"/>
      <w:contextualSpacing/>
    </w:pPr>
    <w:rPr>
      <w:rFonts w:eastAsia="Malgun Gothic"/>
    </w:rPr>
  </w:style>
  <w:style w:type="paragraph" w:styleId="a4">
    <w:name w:val="No Spacing"/>
    <w:link w:val="a5"/>
    <w:uiPriority w:val="1"/>
    <w:qFormat/>
    <w:rsid w:val="00DC6D49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C6D49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DC6D49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DC6D49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DC6D4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6D4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6D49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DC6D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DC6D49"/>
    <w:rPr>
      <w:i/>
    </w:rPr>
  </w:style>
  <w:style w:type="paragraph" w:styleId="ac">
    <w:name w:val="header"/>
    <w:basedOn w:val="a"/>
    <w:link w:val="ad"/>
    <w:uiPriority w:val="99"/>
    <w:unhideWhenUsed/>
    <w:rsid w:val="00DC6D49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  <w:rsid w:val="00DC6D49"/>
  </w:style>
  <w:style w:type="paragraph" w:styleId="ae">
    <w:name w:val="footer"/>
    <w:basedOn w:val="a"/>
    <w:link w:val="af"/>
    <w:uiPriority w:val="99"/>
    <w:unhideWhenUsed/>
    <w:rsid w:val="00DC6D4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C6D49"/>
  </w:style>
  <w:style w:type="paragraph" w:styleId="af0">
    <w:name w:val="caption"/>
    <w:basedOn w:val="a"/>
    <w:next w:val="a"/>
    <w:unhideWhenUsed/>
    <w:qFormat/>
    <w:rsid w:val="00DC6D4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DC6D49"/>
  </w:style>
  <w:style w:type="table" w:styleId="af1">
    <w:name w:val="Table Grid"/>
    <w:uiPriority w:val="59"/>
    <w:rsid w:val="00DC6D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6D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DC6D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DC6D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sid w:val="00DC6D49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DC6D49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DC6D49"/>
    <w:rPr>
      <w:sz w:val="18"/>
    </w:rPr>
  </w:style>
  <w:style w:type="character" w:styleId="af5">
    <w:name w:val="footnote reference"/>
    <w:uiPriority w:val="99"/>
    <w:unhideWhenUsed/>
    <w:rsid w:val="00DC6D4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C6D49"/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DC6D49"/>
    <w:rPr>
      <w:sz w:val="20"/>
    </w:rPr>
  </w:style>
  <w:style w:type="character" w:styleId="af8">
    <w:name w:val="endnote reference"/>
    <w:uiPriority w:val="99"/>
    <w:semiHidden/>
    <w:unhideWhenUsed/>
    <w:rsid w:val="00DC6D4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C6D49"/>
    <w:pPr>
      <w:spacing w:after="57"/>
    </w:pPr>
  </w:style>
  <w:style w:type="paragraph" w:styleId="23">
    <w:name w:val="toc 2"/>
    <w:basedOn w:val="a"/>
    <w:next w:val="a"/>
    <w:uiPriority w:val="39"/>
    <w:unhideWhenUsed/>
    <w:rsid w:val="00DC6D4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C6D4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C6D4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C6D4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6D4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6D4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6D4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6D49"/>
    <w:pPr>
      <w:spacing w:after="57"/>
      <w:ind w:left="2268"/>
    </w:pPr>
  </w:style>
  <w:style w:type="paragraph" w:styleId="af9">
    <w:name w:val="TOC Heading"/>
    <w:uiPriority w:val="39"/>
    <w:unhideWhenUsed/>
    <w:rsid w:val="00DC6D49"/>
  </w:style>
  <w:style w:type="paragraph" w:styleId="afa">
    <w:name w:val="table of figures"/>
    <w:basedOn w:val="a"/>
    <w:next w:val="a"/>
    <w:uiPriority w:val="99"/>
    <w:unhideWhenUsed/>
    <w:rsid w:val="00DC6D49"/>
  </w:style>
  <w:style w:type="character" w:customStyle="1" w:styleId="30">
    <w:name w:val="Заголовок 3 Знак"/>
    <w:link w:val="3"/>
    <w:uiPriority w:val="9"/>
    <w:rsid w:val="00DC6D49"/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qFormat/>
    <w:rsid w:val="00DC6D49"/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13">
    <w:name w:val="Текст выноски1"/>
    <w:basedOn w:val="a"/>
    <w:rsid w:val="00DC6D49"/>
    <w:rPr>
      <w:rFonts w:ascii="Tahoma" w:hAnsi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DC6D49"/>
    <w:rPr>
      <w:rFonts w:ascii="Cambria" w:eastAsia="Malgun Gothic" w:hAnsi="Cambria"/>
      <w:color w:val="365F91"/>
      <w:sz w:val="32"/>
      <w:szCs w:val="32"/>
      <w:lang w:eastAsia="ru-RU"/>
    </w:rPr>
  </w:style>
  <w:style w:type="character" w:styleId="afb">
    <w:name w:val="Strong"/>
    <w:rsid w:val="00DC6D49"/>
    <w:rPr>
      <w:b/>
      <w:bCs/>
    </w:rPr>
  </w:style>
  <w:style w:type="paragraph" w:styleId="afc">
    <w:name w:val="Balloon Text"/>
    <w:basedOn w:val="a"/>
    <w:link w:val="afd"/>
    <w:uiPriority w:val="99"/>
    <w:semiHidden/>
    <w:rsid w:val="00DC6D49"/>
    <w:rPr>
      <w:rFonts w:ascii="Segoe UI" w:hAnsi="Segoe UI"/>
      <w:sz w:val="18"/>
      <w:szCs w:val="18"/>
      <w:lang w:val="en-US"/>
    </w:rPr>
  </w:style>
  <w:style w:type="character" w:customStyle="1" w:styleId="afd">
    <w:name w:val="Текст выноски Знак"/>
    <w:link w:val="afc"/>
    <w:uiPriority w:val="99"/>
    <w:semiHidden/>
    <w:rsid w:val="00DC6D49"/>
    <w:rPr>
      <w:rFonts w:ascii="Segoe UI" w:eastAsia="Times New Roman" w:hAnsi="Segoe UI"/>
      <w:sz w:val="18"/>
      <w:szCs w:val="18"/>
      <w:lang w:eastAsia="ru-RU"/>
    </w:rPr>
  </w:style>
  <w:style w:type="paragraph" w:customStyle="1" w:styleId="Default">
    <w:name w:val="Default"/>
    <w:rsid w:val="00DC6D49"/>
    <w:rPr>
      <w:color w:val="000000"/>
      <w:sz w:val="24"/>
      <w:szCs w:val="24"/>
      <w:lang w:eastAsia="en-US"/>
    </w:rPr>
  </w:style>
  <w:style w:type="character" w:customStyle="1" w:styleId="A70">
    <w:name w:val="A7"/>
    <w:rsid w:val="00DC6D49"/>
    <w:rPr>
      <w:color w:val="000000"/>
      <w:sz w:val="16"/>
      <w:szCs w:val="16"/>
    </w:rPr>
  </w:style>
  <w:style w:type="paragraph" w:customStyle="1" w:styleId="Pa27">
    <w:name w:val="Pa27"/>
    <w:basedOn w:val="a"/>
    <w:next w:val="a"/>
    <w:rsid w:val="00DC6D49"/>
    <w:pPr>
      <w:spacing w:line="241" w:lineRule="atLeast"/>
    </w:pPr>
    <w:rPr>
      <w:rFonts w:ascii="Arial" w:eastAsia="Malgun Gothic" w:hAnsi="Arial"/>
      <w:lang w:eastAsia="ko-KR"/>
    </w:rPr>
  </w:style>
  <w:style w:type="paragraph" w:customStyle="1" w:styleId="Pa28">
    <w:name w:val="Pa28"/>
    <w:basedOn w:val="a"/>
    <w:next w:val="a"/>
    <w:rsid w:val="00DC6D49"/>
    <w:pPr>
      <w:spacing w:line="241" w:lineRule="atLeast"/>
    </w:pPr>
    <w:rPr>
      <w:rFonts w:ascii="Arial" w:eastAsia="Malgun Gothic" w:hAnsi="Arial"/>
      <w:lang w:eastAsia="ko-KR"/>
    </w:rPr>
  </w:style>
  <w:style w:type="paragraph" w:customStyle="1" w:styleId="Pa4">
    <w:name w:val="Pa4"/>
    <w:basedOn w:val="a"/>
    <w:next w:val="a"/>
    <w:rsid w:val="00DC6D49"/>
    <w:pPr>
      <w:spacing w:line="201" w:lineRule="atLeast"/>
    </w:pPr>
    <w:rPr>
      <w:rFonts w:ascii="Arial" w:eastAsia="Malgun Gothic" w:hAnsi="Arial"/>
      <w:lang w:eastAsia="ko-KR"/>
    </w:rPr>
  </w:style>
  <w:style w:type="character" w:styleId="afe">
    <w:name w:val="Emphasis"/>
    <w:rsid w:val="00DC6D49"/>
    <w:rPr>
      <w:i/>
      <w:iCs/>
    </w:rPr>
  </w:style>
  <w:style w:type="character" w:customStyle="1" w:styleId="apple-converted-space">
    <w:name w:val="apple-converted-space"/>
    <w:rsid w:val="00DC6D49"/>
  </w:style>
  <w:style w:type="character" w:customStyle="1" w:styleId="A14">
    <w:name w:val="A14"/>
    <w:rsid w:val="00DC6D49"/>
    <w:rPr>
      <w:color w:val="000000"/>
      <w:sz w:val="14"/>
      <w:szCs w:val="14"/>
    </w:rPr>
  </w:style>
  <w:style w:type="paragraph" w:customStyle="1" w:styleId="Pa19">
    <w:name w:val="Pa19"/>
    <w:basedOn w:val="a"/>
    <w:next w:val="a"/>
    <w:rsid w:val="00DC6D49"/>
    <w:pPr>
      <w:spacing w:line="161" w:lineRule="atLeast"/>
    </w:pPr>
    <w:rPr>
      <w:rFonts w:ascii="Arial" w:eastAsia="Calibri" w:hAnsi="Arial"/>
      <w:lang w:eastAsia="en-US"/>
    </w:rPr>
  </w:style>
  <w:style w:type="paragraph" w:customStyle="1" w:styleId="Pa15">
    <w:name w:val="Pa15"/>
    <w:basedOn w:val="a"/>
    <w:next w:val="a"/>
    <w:rsid w:val="00DC6D49"/>
    <w:pPr>
      <w:spacing w:line="161" w:lineRule="atLeast"/>
    </w:pPr>
    <w:rPr>
      <w:rFonts w:ascii="Arial" w:eastAsia="Calibri" w:hAnsi="Arial"/>
      <w:lang w:eastAsia="en-US"/>
    </w:rPr>
  </w:style>
  <w:style w:type="paragraph" w:customStyle="1" w:styleId="Pa14">
    <w:name w:val="Pa14"/>
    <w:basedOn w:val="a"/>
    <w:next w:val="a"/>
    <w:rsid w:val="00DC6D49"/>
    <w:pPr>
      <w:spacing w:line="171" w:lineRule="atLeast"/>
    </w:pPr>
    <w:rPr>
      <w:rFonts w:ascii="Wingdings" w:eastAsia="Calibri" w:hAnsi="Wingdings"/>
      <w:lang w:eastAsia="en-US"/>
    </w:rPr>
  </w:style>
  <w:style w:type="character" w:customStyle="1" w:styleId="A19">
    <w:name w:val="A19"/>
    <w:rsid w:val="00DC6D49"/>
    <w:rPr>
      <w:color w:val="000000"/>
      <w:sz w:val="16"/>
      <w:szCs w:val="16"/>
    </w:rPr>
  </w:style>
  <w:style w:type="paragraph" w:styleId="aff">
    <w:name w:val="Body Text"/>
    <w:basedOn w:val="a"/>
    <w:link w:val="aff0"/>
    <w:rsid w:val="00DC6D49"/>
    <w:pPr>
      <w:widowControl w:val="0"/>
    </w:pPr>
    <w:rPr>
      <w:lang w:eastAsia="en-US"/>
    </w:rPr>
  </w:style>
  <w:style w:type="character" w:customStyle="1" w:styleId="aff0">
    <w:name w:val="Основной текст Знак"/>
    <w:link w:val="aff"/>
    <w:rsid w:val="00DC6D4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C6D49"/>
    <w:pPr>
      <w:widowControl w:val="0"/>
    </w:pPr>
    <w:rPr>
      <w:sz w:val="22"/>
      <w:szCs w:val="22"/>
      <w:lang w:eastAsia="en-US"/>
    </w:rPr>
  </w:style>
  <w:style w:type="paragraph" w:customStyle="1" w:styleId="docdatadocyv56291bqiaagaaeyqcaaagiaiaaaoxfqaabauvaaaaaaaaaaaaaaaaaaaaaaaaaaaaaaaaaaaaaaaaaaaaaaaaaaaaaaaaaaaaaaaaaaaaaaaaaaaaaaaaaaaaaaaaaaaaaaaaaaaaaaaaaaaaaaaaaaaaaaaaaaaaaaaaaaaaaaaaaaaaaaaaaaaaaaaaaaaaaaaaaaaaaaaaaaaaaaaaaaaaaaaaaaaaaaaaaaaaaaaa">
    <w:name w:val="docdata;docy;v5;6291;bqiaagaaeyqcaaagiaiaaaoxfqaabauvaaaaaaaaaaaaaaaaaaaaaaaaaaaaaaaaaaaaaaaaaaaaaaaaaaaaaaaaaaaaaaaaaaaaaaaaaaaaaaaaaaaaaaaaaaaaaaaaaaaaaaaaaaaaaaaaaaaaaaaaaaaaaaaaaaaaaaaaaaaaaaaaaaaaaaaaaaaaaaaaaaaaaaaaaaaaaaaaaaaaaaaaaaaaaaaaaaaaaaaa"/>
    <w:basedOn w:val="a"/>
    <w:rsid w:val="00DC6D49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rsid w:val="00DC6D49"/>
    <w:pPr>
      <w:spacing w:before="100" w:beforeAutospacing="1" w:after="100" w:afterAutospacing="1"/>
    </w:pPr>
  </w:style>
  <w:style w:type="character" w:customStyle="1" w:styleId="docdata">
    <w:name w:val="docdata"/>
    <w:aliases w:val="docy,v5,1643,bqiaagaaeyqcaaagiaiaaanvawaabx0daaaaaaaaaaaaaaaaaaaaaaaaaaaaaaaaaaaaaaaaaaaaaaaaaaaaaaaaaaaaaaaaaaaaaaaaaaaaaaaaaaaaaaaaaaaaaaaaaaaaaaaaaaaaaaaaaaaaaaaaaaaaaaaaaaaaaaaaaaaaaaaaaaaaaaaaaaaaaaaaaaaaaaaaaaaaaaaaaaaaaaaaaaaaaaaaaaaaaaaa"/>
    <w:basedOn w:val="a0"/>
    <w:rsid w:val="00576B03"/>
  </w:style>
  <w:style w:type="character" w:customStyle="1" w:styleId="Absatz-Standardschriftart">
    <w:name w:val="Absatz-Standardschriftart"/>
    <w:rsid w:val="0023368A"/>
  </w:style>
  <w:style w:type="character" w:customStyle="1" w:styleId="24">
    <w:name w:val="Основной шрифт абзаца2"/>
    <w:rsid w:val="0023368A"/>
  </w:style>
  <w:style w:type="character" w:customStyle="1" w:styleId="WW-Absatz-Standardschriftart">
    <w:name w:val="WW-Absatz-Standardschriftart"/>
    <w:rsid w:val="0023368A"/>
  </w:style>
  <w:style w:type="character" w:customStyle="1" w:styleId="14">
    <w:name w:val="Основной шрифт абзаца1"/>
    <w:rsid w:val="0023368A"/>
  </w:style>
  <w:style w:type="paragraph" w:customStyle="1" w:styleId="15">
    <w:name w:val="Заголовок1"/>
    <w:basedOn w:val="a"/>
    <w:next w:val="aff"/>
    <w:rsid w:val="0023368A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f2">
    <w:name w:val="List"/>
    <w:basedOn w:val="aff"/>
    <w:rsid w:val="0023368A"/>
    <w:pPr>
      <w:widowControl/>
      <w:suppressAutoHyphens/>
      <w:spacing w:after="120" w:line="276" w:lineRule="auto"/>
    </w:pPr>
    <w:rPr>
      <w:rFonts w:ascii="Arial" w:eastAsia="Calibri" w:hAnsi="Arial" w:cs="Mangal"/>
      <w:sz w:val="22"/>
      <w:szCs w:val="22"/>
      <w:lang w:eastAsia="zh-CN"/>
    </w:rPr>
  </w:style>
  <w:style w:type="paragraph" w:customStyle="1" w:styleId="25">
    <w:name w:val="Указатель2"/>
    <w:basedOn w:val="a"/>
    <w:rsid w:val="0023368A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zh-CN"/>
    </w:rPr>
  </w:style>
  <w:style w:type="paragraph" w:customStyle="1" w:styleId="16">
    <w:name w:val="Название1"/>
    <w:basedOn w:val="a"/>
    <w:rsid w:val="0023368A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zh-CN"/>
    </w:rPr>
  </w:style>
  <w:style w:type="paragraph" w:customStyle="1" w:styleId="17">
    <w:name w:val="Указатель1"/>
    <w:basedOn w:val="a"/>
    <w:rsid w:val="0023368A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zh-CN"/>
    </w:rPr>
  </w:style>
  <w:style w:type="paragraph" w:customStyle="1" w:styleId="aff3">
    <w:name w:val="Содержимое таблицы"/>
    <w:basedOn w:val="a"/>
    <w:rsid w:val="0023368A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4">
    <w:name w:val="Заголовок таблицы"/>
    <w:basedOn w:val="aff3"/>
    <w:rsid w:val="0023368A"/>
    <w:pPr>
      <w:jc w:val="center"/>
    </w:pPr>
    <w:rPr>
      <w:b/>
      <w:bCs/>
    </w:rPr>
  </w:style>
  <w:style w:type="character" w:customStyle="1" w:styleId="b-mail-dropdownitemcontent">
    <w:name w:val="b-mail-dropdown__item__content"/>
    <w:basedOn w:val="a0"/>
    <w:rsid w:val="0023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CVETA</cp:lastModifiedBy>
  <cp:revision>238</cp:revision>
  <cp:lastPrinted>2023-07-11T06:45:00Z</cp:lastPrinted>
  <dcterms:created xsi:type="dcterms:W3CDTF">2023-07-03T11:37:00Z</dcterms:created>
  <dcterms:modified xsi:type="dcterms:W3CDTF">2023-08-18T09:36:00Z</dcterms:modified>
</cp:coreProperties>
</file>