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B026D9">
        <w:rPr>
          <w:b/>
          <w:sz w:val="22"/>
          <w:szCs w:val="22"/>
        </w:rPr>
        <w:t xml:space="preserve"> 17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E565DE">
        <w:rPr>
          <w:b/>
          <w:sz w:val="22"/>
          <w:szCs w:val="22"/>
        </w:rPr>
        <w:t xml:space="preserve">  2</w:t>
      </w:r>
      <w:r w:rsidR="00B026D9">
        <w:rPr>
          <w:b/>
          <w:sz w:val="22"/>
          <w:szCs w:val="22"/>
        </w:rPr>
        <w:t xml:space="preserve"> июня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B026D9">
        <w:rPr>
          <w:b/>
          <w:sz w:val="22"/>
          <w:szCs w:val="22"/>
        </w:rPr>
        <w:t>01.06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B026D9">
        <w:rPr>
          <w:b/>
          <w:sz w:val="22"/>
          <w:szCs w:val="22"/>
        </w:rPr>
        <w:t>1</w:t>
      </w:r>
      <w:r w:rsidR="00E565DE">
        <w:rPr>
          <w:b/>
          <w:sz w:val="22"/>
          <w:szCs w:val="22"/>
        </w:rPr>
        <w:t>7</w:t>
      </w:r>
      <w:r w:rsidR="008F180A">
        <w:rPr>
          <w:b/>
          <w:sz w:val="22"/>
          <w:szCs w:val="22"/>
        </w:rPr>
        <w:t xml:space="preserve"> от</w:t>
      </w:r>
      <w:r w:rsidR="00B026D9">
        <w:rPr>
          <w:b/>
          <w:sz w:val="22"/>
          <w:szCs w:val="22"/>
        </w:rPr>
        <w:t xml:space="preserve"> 25</w:t>
      </w:r>
      <w:r w:rsidRPr="00B360AD">
        <w:rPr>
          <w:b/>
          <w:sz w:val="22"/>
          <w:szCs w:val="22"/>
        </w:rPr>
        <w:t>.0</w:t>
      </w:r>
      <w:r w:rsidR="00E25325">
        <w:rPr>
          <w:b/>
          <w:sz w:val="22"/>
          <w:szCs w:val="22"/>
        </w:rPr>
        <w:t>5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708"/>
        <w:gridCol w:w="709"/>
        <w:gridCol w:w="1134"/>
        <w:gridCol w:w="851"/>
        <w:gridCol w:w="992"/>
        <w:gridCol w:w="850"/>
      </w:tblGrid>
      <w:tr w:rsidR="00E565DE" w:rsidRPr="00C102EA" w:rsidTr="00E565D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Наконечник для дозаторов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Наконечник для дозаторов универсальный 2-200мкл для раскапывания крови на гепатит №1000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Маска анестезиологическая наркозная с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предворительно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наполненой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манжетой взрослая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Маски дыхательные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усилии.Стандартный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коннектор для соединения с различными дыхательными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контурами.Упаковано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индивидуальную упаковку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тропанина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крови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 в цельной крови, сыворотке или плазме крови ИХА-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I-Фактор. В упаковке 1 тест на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индивидуальной упаковке. Реагент для разведения образца, 1 одноразовый скарификатор и 1 салфетка.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КСКФ-3 круглые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Диаметр-140мм.Технические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</w:t>
            </w:r>
            <w:r w:rsidRPr="005516EC">
              <w:rPr>
                <w:color w:val="000000"/>
                <w:sz w:val="18"/>
                <w:szCs w:val="18"/>
              </w:rPr>
              <w:lastRenderedPageBreak/>
              <w:t>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КСКФ-6 круглые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КСКФ-9 круглые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б.Температура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КСКФ-12,18 круглые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Лавсан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Лавсан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плетённый </w:t>
            </w:r>
            <w:r w:rsidRPr="005516EC">
              <w:rPr>
                <w:color w:val="000000"/>
                <w:sz w:val="18"/>
                <w:szCs w:val="18"/>
              </w:rPr>
              <w:t>метрич.5 L-75см с иглой HR-35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r w:rsidRPr="00C102EA">
              <w:rPr>
                <w:i/>
                <w:sz w:val="18"/>
                <w:szCs w:val="18"/>
              </w:rPr>
              <w:lastRenderedPageBreak/>
              <w:t>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142 785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jc w:val="center"/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 2% 5мл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77 190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наружного применения 3% 90мл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р-р для наружного применения 10% 20мл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внутримышечного введения 10мг/мл 1мл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Декстроза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внутривенных вливаний 10% 200мл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Дидрогестерон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 таблетки покрыты плёночной оболочкой 10мг №20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таблетки вагинальные 100мг 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А 1000 МЕ 5мл №5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В 1000 МЕ 5мл №5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Е 1000 МЕ 5мл №5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565DE" w:rsidRPr="00C102EA" w:rsidTr="00E565D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5DE" w:rsidRDefault="00E565DE" w:rsidP="00994F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5DE" w:rsidRDefault="00E565DE" w:rsidP="00994F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480 729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 w:rsidR="00E565DE">
              <w:rPr>
                <w:sz w:val="22"/>
                <w:szCs w:val="22"/>
                <w:lang w:eastAsia="ru-RU"/>
              </w:rPr>
              <w:t>Гелика</w:t>
            </w:r>
            <w:proofErr w:type="spellEnd"/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E565D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27.05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E565DE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15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E565DE" w:rsidRPr="00B360AD" w:rsidTr="00FA7680">
        <w:trPr>
          <w:trHeight w:val="374"/>
        </w:trPr>
        <w:tc>
          <w:tcPr>
            <w:tcW w:w="317" w:type="pct"/>
          </w:tcPr>
          <w:p w:rsidR="00E565DE" w:rsidRPr="00B360AD" w:rsidRDefault="00E565DE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565DE" w:rsidRDefault="00E565DE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Реамол</w:t>
            </w:r>
            <w:proofErr w:type="spellEnd"/>
            <w:r>
              <w:rPr>
                <w:sz w:val="22"/>
                <w:szCs w:val="22"/>
                <w:lang w:eastAsia="ru-RU"/>
              </w:rPr>
              <w:t>-СК»</w:t>
            </w:r>
          </w:p>
        </w:tc>
        <w:tc>
          <w:tcPr>
            <w:tcW w:w="1090" w:type="pct"/>
            <w:vAlign w:val="center"/>
          </w:tcPr>
          <w:p w:rsidR="00E565DE" w:rsidRDefault="00E565D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31.05.2021г</w:t>
            </w:r>
          </w:p>
        </w:tc>
        <w:tc>
          <w:tcPr>
            <w:tcW w:w="924" w:type="pct"/>
            <w:vAlign w:val="center"/>
          </w:tcPr>
          <w:p w:rsidR="00E565DE" w:rsidRDefault="00E565DE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21 мин</w:t>
            </w:r>
          </w:p>
        </w:tc>
      </w:tr>
      <w:tr w:rsidR="00E565DE" w:rsidRPr="00B360AD" w:rsidTr="00FA7680">
        <w:trPr>
          <w:trHeight w:val="374"/>
        </w:trPr>
        <w:tc>
          <w:tcPr>
            <w:tcW w:w="317" w:type="pct"/>
          </w:tcPr>
          <w:p w:rsidR="00E565DE" w:rsidRPr="00B360AD" w:rsidRDefault="00E565DE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E565DE" w:rsidRDefault="00E565DE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СКФ ТОО «КФК «МЕДСЕРВИС ПЛЮС»</w:t>
            </w:r>
          </w:p>
        </w:tc>
        <w:tc>
          <w:tcPr>
            <w:tcW w:w="1090" w:type="pct"/>
            <w:vAlign w:val="center"/>
          </w:tcPr>
          <w:p w:rsidR="00E565DE" w:rsidRDefault="00E565D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01.06.2021 г</w:t>
            </w:r>
          </w:p>
        </w:tc>
        <w:tc>
          <w:tcPr>
            <w:tcW w:w="924" w:type="pct"/>
            <w:vAlign w:val="center"/>
          </w:tcPr>
          <w:p w:rsidR="00E565DE" w:rsidRDefault="00E565DE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9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E565DE">
        <w:rPr>
          <w:caps/>
          <w:sz w:val="22"/>
          <w:szCs w:val="22"/>
          <w:lang w:eastAsia="ru-RU"/>
        </w:rPr>
        <w:t>1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E565DE">
        <w:rPr>
          <w:caps/>
          <w:sz w:val="22"/>
          <w:szCs w:val="22"/>
          <w:lang w:eastAsia="ru-RU"/>
        </w:rPr>
        <w:t>июня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lastRenderedPageBreak/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9B2727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</w:p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tbl>
      <w:tblPr>
        <w:tblW w:w="1063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417"/>
        <w:gridCol w:w="851"/>
        <w:gridCol w:w="992"/>
        <w:gridCol w:w="992"/>
        <w:gridCol w:w="992"/>
        <w:gridCol w:w="992"/>
      </w:tblGrid>
      <w:tr w:rsidR="00E565DE" w:rsidRPr="00C102EA" w:rsidTr="00E565D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E565DE" w:rsidRPr="00C102EA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Гелика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Реамол</w:t>
            </w:r>
            <w:proofErr w:type="spellEnd"/>
            <w:r>
              <w:rPr>
                <w:sz w:val="18"/>
                <w:szCs w:val="18"/>
              </w:rPr>
              <w:t xml:space="preserve"> –СК»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Наконечник для дозаторов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Наконечник для дозаторов универсальный 2-200мкл для раскапывания крови на гепатит №1000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Маска анестезиологическая наркозная с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предворительно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наполненой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манжетой взрослая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Маски дыхательные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усилии.Стандартный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коннектор для соединения с различными дыхательными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контурами.Упаковано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индивидуальную упаковку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тропанина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крови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 в цельной крови, сыворотке или плазме крови ИХА-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I-Фактор. В упаковке 1 тест на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индивидуальной упаковке. Реагент для разведения образца, 1 одноразовый скарификатор и 1 салфетка.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КСКФ-3 круглые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Диаметр-140мм.Технические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</w:t>
            </w:r>
            <w:r w:rsidRPr="005516EC">
              <w:rPr>
                <w:color w:val="000000"/>
                <w:sz w:val="18"/>
                <w:szCs w:val="18"/>
              </w:rPr>
              <w:lastRenderedPageBreak/>
              <w:t>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3232AA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КСКФ-6 круглые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3232AA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КСКФ-9 круглые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б.Температура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</w:t>
            </w:r>
            <w:r w:rsidRPr="005516EC">
              <w:rPr>
                <w:color w:val="000000"/>
                <w:sz w:val="18"/>
                <w:szCs w:val="18"/>
              </w:rPr>
              <w:lastRenderedPageBreak/>
              <w:t xml:space="preserve">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КСКФ-12,18 круглые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Лавсан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5516EC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Лавсан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плетённый </w:t>
            </w:r>
            <w:r w:rsidRPr="005516EC">
              <w:rPr>
                <w:color w:val="000000"/>
                <w:sz w:val="18"/>
                <w:szCs w:val="18"/>
              </w:rPr>
              <w:t>метрич.5 L-75см с иглой HR-35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2855,7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jc w:val="center"/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 2% 5мл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257,3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наружного применения 3% 90мл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E565DE" w:rsidRPr="00C102EA" w:rsidTr="003232AA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р-р для наружного применения 10% 20мл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565DE" w:rsidRPr="00C102EA" w:rsidTr="003232AA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внутримышечного введения 10мг/мл 1мл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Декстроза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внутривенных вливаний 10% 200мл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Дидрогестерон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 таблетки покрыты плёночной оболочкой 10мг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5370</w:t>
            </w: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таблетки вагинальные 100мг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А 1000 МЕ 5мл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В 1000 МЕ 5мл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Е 1000 МЕ 5мл №5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  <w:tr w:rsidR="00E565DE" w:rsidRPr="00C102EA" w:rsidTr="00E565DE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Pr="00C102EA" w:rsidRDefault="00E565DE" w:rsidP="00E565DE">
            <w:pPr>
              <w:pStyle w:val="a3"/>
              <w:numPr>
                <w:ilvl w:val="0"/>
                <w:numId w:val="16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Pr="00626BA7" w:rsidRDefault="00E565DE" w:rsidP="00994F96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E" w:rsidRDefault="00E565DE" w:rsidP="00994F96">
            <w:pPr>
              <w:rPr>
                <w:sz w:val="18"/>
                <w:szCs w:val="18"/>
              </w:rPr>
            </w:pPr>
          </w:p>
        </w:tc>
      </w:tr>
    </w:tbl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 xml:space="preserve">са ценовых предложений </w:t>
      </w:r>
      <w:r w:rsidR="00E565DE">
        <w:rPr>
          <w:caps/>
          <w:sz w:val="22"/>
          <w:szCs w:val="22"/>
          <w:lang w:eastAsia="ru-RU"/>
        </w:rPr>
        <w:t>следующих потенциальных поставщиков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E565DE">
        <w:rPr>
          <w:caps/>
          <w:color w:val="000000"/>
          <w:sz w:val="22"/>
          <w:szCs w:val="22"/>
          <w:lang w:eastAsia="ru-RU"/>
        </w:rPr>
        <w:t>и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E565DE">
        <w:rPr>
          <w:rFonts w:ascii="Times New Roman" w:hAnsi="Times New Roman"/>
          <w:shd w:val="clear" w:color="auto" w:fill="FFFFFF"/>
        </w:rPr>
        <w:t>По лотам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E565DE">
        <w:rPr>
          <w:rFonts w:ascii="Times New Roman" w:hAnsi="Times New Roman"/>
          <w:shd w:val="clear" w:color="auto" w:fill="FFFFFF"/>
        </w:rPr>
        <w:t xml:space="preserve">5,6,7,8,9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ТОО </w:t>
      </w:r>
      <w:r w:rsidR="00064C60" w:rsidRPr="00064C60">
        <w:rPr>
          <w:rFonts w:ascii="Times New Roman" w:hAnsi="Times New Roman"/>
          <w:shd w:val="clear" w:color="auto" w:fill="FFFFFF"/>
        </w:rPr>
        <w:t>«</w:t>
      </w:r>
      <w:proofErr w:type="spellStart"/>
      <w:proofErr w:type="gramStart"/>
      <w:r w:rsidR="00E565DE">
        <w:rPr>
          <w:rFonts w:ascii="Times New Roman" w:hAnsi="Times New Roman"/>
          <w:shd w:val="clear" w:color="auto" w:fill="FFFFFF"/>
        </w:rPr>
        <w:t>Гелика</w:t>
      </w:r>
      <w:proofErr w:type="spellEnd"/>
      <w:r w:rsidR="00064C60" w:rsidRPr="00064C60">
        <w:rPr>
          <w:rFonts w:ascii="Times New Roman" w:hAnsi="Times New Roman"/>
          <w:shd w:val="clear" w:color="auto" w:fill="FFFFFF"/>
        </w:rPr>
        <w:t>»</w:t>
      </w:r>
      <w:r w:rsidR="00064C60">
        <w:rPr>
          <w:rFonts w:ascii="Times New Roman" w:hAnsi="Times New Roman"/>
          <w:shd w:val="clear" w:color="auto" w:fill="FFFFFF"/>
        </w:rPr>
        <w:t xml:space="preserve">   </w:t>
      </w:r>
      <w:proofErr w:type="gramEnd"/>
      <w:r w:rsidR="00064C60">
        <w:rPr>
          <w:rFonts w:ascii="Times New Roman" w:hAnsi="Times New Roman"/>
          <w:shd w:val="clear" w:color="auto" w:fill="FFFFFF"/>
        </w:rPr>
        <w:t xml:space="preserve">          </w:t>
      </w:r>
      <w:r w:rsidR="00CD2F2B" w:rsidRPr="00CD2F2B">
        <w:rPr>
          <w:rFonts w:ascii="Times New Roman" w:hAnsi="Times New Roman"/>
          <w:shd w:val="clear" w:color="auto" w:fill="FFFFFF"/>
        </w:rPr>
        <w:t>местонахождение:</w:t>
      </w:r>
      <w:r w:rsidR="00E565DE">
        <w:rPr>
          <w:rFonts w:ascii="Times New Roman" w:hAnsi="Times New Roman"/>
          <w:shd w:val="clear" w:color="auto" w:fill="FFFFFF"/>
        </w:rPr>
        <w:t xml:space="preserve"> СКО</w:t>
      </w:r>
      <w:r w:rsidR="00671EEC">
        <w:rPr>
          <w:rFonts w:ascii="Times New Roman" w:hAnsi="Times New Roman"/>
          <w:shd w:val="clear" w:color="auto" w:fill="FFFFFF"/>
        </w:rPr>
        <w:t>,</w:t>
      </w:r>
      <w:r w:rsidR="00E565DE">
        <w:rPr>
          <w:rFonts w:ascii="Times New Roman" w:hAnsi="Times New Roman"/>
          <w:shd w:val="clear" w:color="auto" w:fill="FFFFFF"/>
        </w:rPr>
        <w:t xml:space="preserve"> г. Петропавловск</w:t>
      </w:r>
      <w:r w:rsidR="00E25325">
        <w:rPr>
          <w:rFonts w:ascii="Times New Roman" w:hAnsi="Times New Roman"/>
          <w:shd w:val="clear" w:color="auto" w:fill="FFFFFF"/>
        </w:rPr>
        <w:t>,</w:t>
      </w:r>
      <w:r w:rsidR="00671EE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71EEC">
        <w:rPr>
          <w:rFonts w:ascii="Times New Roman" w:hAnsi="Times New Roman"/>
          <w:shd w:val="clear" w:color="auto" w:fill="FFFFFF"/>
        </w:rPr>
        <w:t>ул</w:t>
      </w:r>
      <w:proofErr w:type="spellEnd"/>
      <w:r w:rsidR="00E565DE">
        <w:rPr>
          <w:rFonts w:ascii="Times New Roman" w:hAnsi="Times New Roman"/>
          <w:shd w:val="clear" w:color="auto" w:fill="FFFFFF"/>
        </w:rPr>
        <w:t>, Маяковского, 95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заключит</w:t>
      </w:r>
      <w:r w:rsidR="003232AA">
        <w:rPr>
          <w:rFonts w:ascii="Times New Roman" w:hAnsi="Times New Roman"/>
          <w:shd w:val="clear" w:color="auto" w:fill="FFFFFF"/>
        </w:rPr>
        <w:t xml:space="preserve">ь с ним договор закупа на сумму 51 870 </w:t>
      </w:r>
      <w:proofErr w:type="gramStart"/>
      <w:r w:rsidR="003232AA">
        <w:rPr>
          <w:rFonts w:ascii="Times New Roman" w:hAnsi="Times New Roman"/>
          <w:shd w:val="clear" w:color="auto" w:fill="FFFFFF"/>
        </w:rPr>
        <w:t xml:space="preserve">тенге </w:t>
      </w:r>
      <w:r w:rsidR="00CD2F2B" w:rsidRPr="00CB14E2">
        <w:rPr>
          <w:rFonts w:ascii="Times New Roman" w:hAnsi="Times New Roman"/>
          <w:shd w:val="clear" w:color="auto" w:fill="FFFFFF"/>
        </w:rPr>
        <w:t xml:space="preserve"> (</w:t>
      </w:r>
      <w:proofErr w:type="gramEnd"/>
      <w:r w:rsidR="003232AA">
        <w:rPr>
          <w:rFonts w:ascii="Times New Roman" w:hAnsi="Times New Roman"/>
          <w:shd w:val="clear" w:color="auto" w:fill="FFFFFF"/>
        </w:rPr>
        <w:t>Пятьдесят одна тысяча восемьсот семьдесят</w:t>
      </w:r>
      <w:r w:rsidR="00E25325">
        <w:rPr>
          <w:rFonts w:ascii="Times New Roman" w:hAnsi="Times New Roman"/>
          <w:shd w:val="clear" w:color="auto" w:fill="FFFFFF"/>
        </w:rPr>
        <w:t xml:space="preserve"> </w:t>
      </w:r>
      <w:r w:rsidR="004F1CC4">
        <w:rPr>
          <w:rFonts w:ascii="Times New Roman" w:hAnsi="Times New Roman"/>
          <w:shd w:val="clear" w:color="auto" w:fill="FFFFFF"/>
        </w:rPr>
        <w:t>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3232AA" w:rsidRDefault="003232AA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По лотам №3,18,19,20 победителем признать потенциального поставщика ТОО                   </w:t>
      </w:r>
      <w:proofErr w:type="gramStart"/>
      <w:r>
        <w:rPr>
          <w:rFonts w:ascii="Times New Roman" w:hAnsi="Times New Roman"/>
          <w:shd w:val="clear" w:color="auto" w:fill="FFFFFF"/>
        </w:rPr>
        <w:t xml:space="preserve">   «</w:t>
      </w:r>
      <w:proofErr w:type="spellStart"/>
      <w:proofErr w:type="gramEnd"/>
      <w:r>
        <w:rPr>
          <w:rFonts w:ascii="Times New Roman" w:hAnsi="Times New Roman"/>
          <w:shd w:val="clear" w:color="auto" w:fill="FFFFFF"/>
        </w:rPr>
        <w:t>Реамол</w:t>
      </w:r>
      <w:proofErr w:type="spellEnd"/>
      <w:r>
        <w:rPr>
          <w:rFonts w:ascii="Times New Roman" w:hAnsi="Times New Roman"/>
          <w:shd w:val="clear" w:color="auto" w:fill="FFFFFF"/>
        </w:rPr>
        <w:t xml:space="preserve"> – СК» местонахождение: СКО, г. Петропавловск , ул. </w:t>
      </w:r>
      <w:proofErr w:type="spellStart"/>
      <w:r>
        <w:rPr>
          <w:rFonts w:ascii="Times New Roman" w:hAnsi="Times New Roman"/>
          <w:shd w:val="clear" w:color="auto" w:fill="FFFFFF"/>
        </w:rPr>
        <w:t>Ауэзова</w:t>
      </w:r>
      <w:proofErr w:type="spellEnd"/>
      <w:r>
        <w:rPr>
          <w:rFonts w:ascii="Times New Roman" w:hAnsi="Times New Roman"/>
          <w:shd w:val="clear" w:color="auto" w:fill="FFFFFF"/>
        </w:rPr>
        <w:t xml:space="preserve">, 133. При соответствии победителя квалификационным требованиям заключить с ним договор на сумму 88 500 тенге </w:t>
      </w:r>
      <w:proofErr w:type="gramStart"/>
      <w:r>
        <w:rPr>
          <w:rFonts w:ascii="Times New Roman" w:hAnsi="Times New Roman"/>
          <w:shd w:val="clear" w:color="auto" w:fill="FFFFFF"/>
        </w:rPr>
        <w:t>( Восемьдесят</w:t>
      </w:r>
      <w:proofErr w:type="gramEnd"/>
      <w:r>
        <w:rPr>
          <w:rFonts w:ascii="Times New Roman" w:hAnsi="Times New Roman"/>
          <w:shd w:val="clear" w:color="auto" w:fill="FFFFFF"/>
        </w:rPr>
        <w:t xml:space="preserve"> восемь тысяч пятьсот тенге, 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</w:t>
      </w:r>
    </w:p>
    <w:p w:rsidR="003232AA" w:rsidRDefault="003232AA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По лотам № 1,10,11,12,13,15,16 победителем признать</w:t>
      </w:r>
      <w:r w:rsidR="00360894">
        <w:rPr>
          <w:rFonts w:ascii="Times New Roman" w:hAnsi="Times New Roman"/>
          <w:shd w:val="clear" w:color="auto" w:fill="FFFFFF"/>
        </w:rPr>
        <w:t xml:space="preserve"> потенциального поставщика</w:t>
      </w:r>
      <w:r>
        <w:rPr>
          <w:rFonts w:ascii="Times New Roman" w:hAnsi="Times New Roman"/>
          <w:shd w:val="clear" w:color="auto" w:fill="FFFFFF"/>
        </w:rPr>
        <w:t xml:space="preserve"> СКФ ТОО «КФК «МЕДСЕРВИС ПЛЮС»</w:t>
      </w:r>
      <w:r w:rsidR="00360894">
        <w:rPr>
          <w:rFonts w:ascii="Times New Roman" w:hAnsi="Times New Roman"/>
          <w:shd w:val="clear" w:color="auto" w:fill="FFFFFF"/>
        </w:rPr>
        <w:t xml:space="preserve"> местонахождение: СКО, г. Петропавловск, ул. Жамбыла, 123 (юр адрес</w:t>
      </w:r>
      <w:proofErr w:type="gramStart"/>
      <w:r w:rsidR="00360894">
        <w:rPr>
          <w:rFonts w:ascii="Times New Roman" w:hAnsi="Times New Roman"/>
          <w:shd w:val="clear" w:color="auto" w:fill="FFFFFF"/>
        </w:rPr>
        <w:t>) ,</w:t>
      </w:r>
      <w:proofErr w:type="gramEnd"/>
      <w:r w:rsidR="00360894">
        <w:rPr>
          <w:rFonts w:ascii="Times New Roman" w:hAnsi="Times New Roman"/>
          <w:shd w:val="clear" w:color="auto" w:fill="FFFFFF"/>
        </w:rPr>
        <w:t xml:space="preserve"> г. Петропавловск, ул. Мусрепова, 23 (факт адрес) . При соответствии победителя </w:t>
      </w:r>
      <w:proofErr w:type="gramStart"/>
      <w:r w:rsidR="00360894">
        <w:rPr>
          <w:rFonts w:ascii="Times New Roman" w:hAnsi="Times New Roman"/>
          <w:shd w:val="clear" w:color="auto" w:fill="FFFFFF"/>
        </w:rPr>
        <w:t xml:space="preserve">квалификационным 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60894">
        <w:rPr>
          <w:rFonts w:ascii="Times New Roman" w:hAnsi="Times New Roman"/>
          <w:shd w:val="clear" w:color="auto" w:fill="FFFFFF"/>
        </w:rPr>
        <w:t>требованиям</w:t>
      </w:r>
      <w:proofErr w:type="gramEnd"/>
      <w:r w:rsidR="00360894">
        <w:rPr>
          <w:rFonts w:ascii="Times New Roman" w:hAnsi="Times New Roman"/>
          <w:shd w:val="clear" w:color="auto" w:fill="FFFFFF"/>
        </w:rPr>
        <w:t xml:space="preserve"> заключить с ним договор на сумму 250 045 тенге ( Двести пятьдесят тысяч сорок пять тенге, 00 </w:t>
      </w:r>
      <w:proofErr w:type="spellStart"/>
      <w:r w:rsidR="00360894">
        <w:rPr>
          <w:rFonts w:ascii="Times New Roman" w:hAnsi="Times New Roman"/>
          <w:shd w:val="clear" w:color="auto" w:fill="FFFFFF"/>
        </w:rPr>
        <w:t>тиын</w:t>
      </w:r>
      <w:proofErr w:type="spellEnd"/>
      <w:r w:rsidR="00360894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E25325" w:rsidRPr="00B22676" w:rsidRDefault="00E25325" w:rsidP="00E2532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2676">
        <w:rPr>
          <w:rFonts w:ascii="Times New Roman" w:hAnsi="Times New Roman"/>
          <w:shd w:val="clear" w:color="auto" w:fill="FFFFFF"/>
        </w:rPr>
        <w:t>Организатор по закупу способом запроса ценовых предложений медицинских изделий, решил: Признать закуп способом запроса ценовы</w:t>
      </w:r>
      <w:r w:rsidR="00360894">
        <w:rPr>
          <w:rFonts w:ascii="Times New Roman" w:hAnsi="Times New Roman"/>
          <w:shd w:val="clear" w:color="auto" w:fill="FFFFFF"/>
        </w:rPr>
        <w:t>х предложений по следующим лотам</w:t>
      </w:r>
      <w:bookmarkStart w:id="0" w:name="_GoBack"/>
      <w:bookmarkEnd w:id="0"/>
    </w:p>
    <w:p w:rsidR="00B2578E" w:rsidRDefault="00360894" w:rsidP="00E25325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№ 2,4,14,17,21</w:t>
      </w:r>
      <w:r w:rsidR="00E25325">
        <w:rPr>
          <w:rFonts w:ascii="Times New Roman" w:hAnsi="Times New Roman"/>
          <w:shd w:val="clear" w:color="auto" w:fill="FFFFFF"/>
        </w:rPr>
        <w:t xml:space="preserve"> </w:t>
      </w:r>
      <w:r w:rsidR="00E25325" w:rsidRPr="00B22676">
        <w:rPr>
          <w:rFonts w:ascii="Times New Roman" w:hAnsi="Times New Roman"/>
          <w:shd w:val="clear" w:color="auto" w:fill="FFFFFF"/>
        </w:rPr>
        <w:t>не состоявшимся, ценовых предложений не поступило.</w:t>
      </w:r>
    </w:p>
    <w:p w:rsidR="00E25325" w:rsidRPr="00E25325" w:rsidRDefault="00E25325" w:rsidP="00E25325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90F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32AA"/>
    <w:rsid w:val="0032651C"/>
    <w:rsid w:val="003357A7"/>
    <w:rsid w:val="00342F2A"/>
    <w:rsid w:val="003454DD"/>
    <w:rsid w:val="003479C1"/>
    <w:rsid w:val="00360894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026D9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565DE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428C-86D1-4608-BECF-365AA47B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211</cp:revision>
  <cp:lastPrinted>2021-05-24T03:34:00Z</cp:lastPrinted>
  <dcterms:created xsi:type="dcterms:W3CDTF">2019-07-31T10:54:00Z</dcterms:created>
  <dcterms:modified xsi:type="dcterms:W3CDTF">2021-06-02T03:38:00Z</dcterms:modified>
</cp:coreProperties>
</file>