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5516EC">
        <w:rPr>
          <w:b/>
        </w:rPr>
        <w:t xml:space="preserve"> №17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5516EC">
        <w:rPr>
          <w:b/>
        </w:rPr>
        <w:t>25</w:t>
      </w:r>
      <w:r w:rsidR="00B71799">
        <w:rPr>
          <w:b/>
        </w:rPr>
        <w:t>.05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992"/>
      </w:tblGrid>
      <w:tr w:rsidR="00D575AD" w:rsidRPr="00C102EA" w:rsidTr="00626BA7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Система для переливания крови 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кровозаменителей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G18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Система для переливания крови 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кровозаменителей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G18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Наконечник для дозаторов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Наконечник для дозаторов универсальный 2-200мкл для раскапывания крови на гепатит №1000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Маска анестезиологическая наркозная с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предворительно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наполненой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манжетой взрослая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Маски дыхательные однократного применения снабжены мягкой раздувной манжетой, обеспечивающей герметичное прилегание маски к лицу пациента при минимальном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усилии.Стандартный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коннектор для соединения с различными дыхательными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контурами.Упаковано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индивидуальную упаковку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тропанина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крови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I в цельной крови, сыворотке или плазме крови ИХА-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I-Фактор. В упаковке 1 тест на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в индивидуальной упаковке. Реагент для разведения образца, 1 одноразовый скарификатор и 1 салфетка.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КСКФ-3 круглые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Диаметр-140мм.Технические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</w:t>
            </w:r>
            <w:r w:rsidRPr="005516EC">
              <w:rPr>
                <w:color w:val="000000"/>
                <w:sz w:val="18"/>
                <w:szCs w:val="18"/>
              </w:rPr>
              <w:lastRenderedPageBreak/>
              <w:t>0,2мм.Состав ткани 100% 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КСКФ-6 круглые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КСКФ-9 круглые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б.Температура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Фильтр КСКФ-12,18 круглые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Диаметр-180мм.Технические характеристики ткани: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>Поверхностная плотность 575+-25м/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гкв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>. Поверхностная плотность по утку 110г\м кв. Разрывная нагрузка полости ткани размером 50х200мм. По основе не менее 181(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185)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proofErr w:type="gramEnd"/>
            <w:r w:rsidRPr="005516EC">
              <w:rPr>
                <w:color w:val="000000"/>
                <w:sz w:val="18"/>
                <w:szCs w:val="18"/>
              </w:rPr>
              <w:t xml:space="preserve"> (кгс).Разрывная нагрузка полости ткани размером 50х200 мм. по утку </w:t>
            </w:r>
            <w:r w:rsidRPr="005516EC">
              <w:rPr>
                <w:color w:val="000000"/>
                <w:sz w:val="18"/>
                <w:szCs w:val="18"/>
              </w:rPr>
              <w:lastRenderedPageBreak/>
              <w:t>не менее 88(90)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даН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 (кгс).Удлинение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1,4+- 0,2мм.Состав ткани 100% х/б.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16EC">
              <w:rPr>
                <w:color w:val="000000"/>
                <w:sz w:val="18"/>
                <w:szCs w:val="18"/>
              </w:rPr>
              <w:t xml:space="preserve">Температура 90ТС.Воздухонепроницаемость не более 1,0л/м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Водонепроницаемость не более 1,0 л/м </w:t>
            </w:r>
            <w:proofErr w:type="spellStart"/>
            <w:r w:rsidRPr="005516EC">
              <w:rPr>
                <w:color w:val="000000"/>
                <w:sz w:val="18"/>
                <w:szCs w:val="18"/>
              </w:rPr>
              <w:t>кв.с</w:t>
            </w:r>
            <w:proofErr w:type="spellEnd"/>
            <w:r w:rsidRPr="005516EC">
              <w:rPr>
                <w:color w:val="000000"/>
                <w:sz w:val="18"/>
                <w:szCs w:val="18"/>
              </w:rPr>
              <w:t xml:space="preserve">. В упаковке количество комплектов 5 </w:t>
            </w:r>
            <w:proofErr w:type="gramStart"/>
            <w:r w:rsidRPr="005516EC">
              <w:rPr>
                <w:color w:val="000000"/>
                <w:sz w:val="18"/>
                <w:szCs w:val="18"/>
              </w:rPr>
              <w:t>штук.(</w:t>
            </w:r>
            <w:proofErr w:type="gramEnd"/>
            <w:r w:rsidRPr="005516EC">
              <w:rPr>
                <w:color w:val="000000"/>
                <w:sz w:val="18"/>
                <w:szCs w:val="18"/>
              </w:rPr>
              <w:t>В одном комплекте 2 фильтра)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r w:rsidRPr="005516EC">
              <w:rPr>
                <w:color w:val="000000"/>
                <w:sz w:val="18"/>
                <w:szCs w:val="18"/>
              </w:rPr>
              <w:t>Лавсан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5516EC" w:rsidP="005516EC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Лавсан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плетённый </w:t>
            </w:r>
            <w:r w:rsidRPr="005516EC">
              <w:rPr>
                <w:color w:val="000000"/>
                <w:sz w:val="18"/>
                <w:szCs w:val="18"/>
              </w:rPr>
              <w:t>метрич.5 L-75см с иглой HR-35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Железа (III)гидроксида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полимальтозный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комплекс р-р для инъекции 100мг/2мл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2</w:t>
            </w:r>
            <w:proofErr w:type="gramStart"/>
            <w:r w:rsidRPr="00626BA7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 №</w:t>
            </w:r>
            <w:proofErr w:type="gramEnd"/>
            <w:r w:rsidRPr="00626B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Железа (III)гидроксида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полимальтозный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комплекс р-р для инъекции 100мг/2мл </w:t>
            </w:r>
            <w:proofErr w:type="spellStart"/>
            <w:r w:rsidRPr="00626BA7">
              <w:rPr>
                <w:color w:val="000000"/>
                <w:sz w:val="18"/>
                <w:szCs w:val="18"/>
              </w:rPr>
              <w:t>2</w:t>
            </w:r>
            <w:proofErr w:type="gramStart"/>
            <w:r w:rsidRPr="00626BA7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626BA7">
              <w:rPr>
                <w:color w:val="000000"/>
                <w:sz w:val="18"/>
                <w:szCs w:val="18"/>
              </w:rPr>
              <w:t xml:space="preserve">  №</w:t>
            </w:r>
            <w:proofErr w:type="gramEnd"/>
            <w:r w:rsidRPr="00626B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142 785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jc w:val="center"/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 2% 5мл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77 190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наружного применения 3% 90мл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р-р для наружного применения 10% 20мл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внутримышечного введения 10мг/мл 1мл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Декстроза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внутривенных вливаний 10% 200мл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Дидрогестерон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 xml:space="preserve"> таблетки покрыты плёночной оболочкой 10мг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6BA7">
              <w:rPr>
                <w:color w:val="000000"/>
                <w:sz w:val="18"/>
                <w:szCs w:val="18"/>
              </w:rPr>
              <w:t>Клотримазол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таблетки вагинальные 100мг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А 1000 МЕ 5мл №5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В 1000 МЕ 5мл №5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Сыворотка противоботулиническая тип Е 1000 МЕ 5мл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Раствор для инъекций.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6BA7">
              <w:rPr>
                <w:color w:val="000000"/>
                <w:sz w:val="18"/>
                <w:szCs w:val="18"/>
              </w:rPr>
              <w:t>Препарат представляет собой прозрачную или слегка опалесцирующую жидкость с желтоватым оттенком, не имеющей запаха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626BA7" w:rsidRDefault="00626BA7" w:rsidP="00626BA7">
            <w:pPr>
              <w:rPr>
                <w:color w:val="000000"/>
                <w:sz w:val="18"/>
                <w:szCs w:val="18"/>
              </w:rPr>
            </w:pPr>
            <w:r w:rsidRPr="00626BA7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BA7" w:rsidRDefault="00626BA7" w:rsidP="00626B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BA7" w:rsidRDefault="00626BA7" w:rsidP="00626B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84006"/>
    <w:rsid w:val="002A18A0"/>
    <w:rsid w:val="002A6286"/>
    <w:rsid w:val="002A74FF"/>
    <w:rsid w:val="002B3033"/>
    <w:rsid w:val="002E5B32"/>
    <w:rsid w:val="00311B75"/>
    <w:rsid w:val="00311CBA"/>
    <w:rsid w:val="00317E1B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26BA7"/>
    <w:rsid w:val="00627C56"/>
    <w:rsid w:val="00643268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DC76-2EFB-4F36-9117-A4EFCB39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143</cp:revision>
  <cp:lastPrinted>2021-04-12T06:04:00Z</cp:lastPrinted>
  <dcterms:created xsi:type="dcterms:W3CDTF">2018-02-12T09:02:00Z</dcterms:created>
  <dcterms:modified xsi:type="dcterms:W3CDTF">2021-05-24T11:21:00Z</dcterms:modified>
</cp:coreProperties>
</file>