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C34216">
        <w:rPr>
          <w:b/>
        </w:rPr>
        <w:t xml:space="preserve"> №26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C34216">
        <w:rPr>
          <w:b/>
        </w:rPr>
        <w:t>27</w:t>
      </w:r>
      <w:r w:rsidR="00A26E13">
        <w:rPr>
          <w:b/>
        </w:rPr>
        <w:t>.09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260"/>
        <w:gridCol w:w="1134"/>
        <w:gridCol w:w="567"/>
        <w:gridCol w:w="850"/>
        <w:gridCol w:w="1276"/>
        <w:gridCol w:w="1134"/>
        <w:gridCol w:w="850"/>
      </w:tblGrid>
      <w:tr w:rsidR="00D575AD" w:rsidRPr="00C102EA" w:rsidTr="00DF6D9C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B6AEE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DF6D9C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B6AEE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B6AEE" w:rsidRDefault="00C34216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Дыхательный контур для </w:t>
            </w:r>
            <w:proofErr w:type="spellStart"/>
            <w:r w:rsidRPr="00CB6AEE">
              <w:rPr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 вентиляции новорожденных с проводом нагревательным, для адаптера </w:t>
            </w:r>
            <w:r w:rsidRPr="00CB6AEE">
              <w:rPr>
                <w:color w:val="000000"/>
                <w:sz w:val="18"/>
                <w:szCs w:val="18"/>
                <w:lang w:val="en-US" w:eastAsia="ru-RU"/>
              </w:rPr>
              <w:t>REF</w:t>
            </w:r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 5600 «</w:t>
            </w:r>
            <w:proofErr w:type="spellStart"/>
            <w:r w:rsidRPr="00CB6AEE">
              <w:rPr>
                <w:color w:val="000000"/>
                <w:sz w:val="18"/>
                <w:szCs w:val="18"/>
                <w:lang w:val="en-US" w:eastAsia="ru-RU"/>
              </w:rPr>
              <w:t>Intersurqial</w:t>
            </w:r>
            <w:proofErr w:type="spellEnd"/>
            <w:r w:rsidRPr="00CB6AEE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D16FF2" w:rsidP="00A26E13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r w:rsidR="00DF6D9C" w:rsidRPr="00CB6AEE">
              <w:rPr>
                <w:color w:val="000000"/>
                <w:sz w:val="18"/>
                <w:szCs w:val="18"/>
              </w:rPr>
              <w:t xml:space="preserve">Дыхательный контур реанимационный для новорожденных с обогревом для назального СРАР. Дыхательный контур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nFlow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однолинейный, общая длина 1,6м состоит из гофрированного шланга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Flextube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с обогревом диаметром 15мм, длиной 1,2м, переходящим в трубку диаметром 6мм длиной 0,5м, подводящей поток к универсальному генератору СРАР. Провод </w:t>
            </w:r>
            <w:proofErr w:type="gramStart"/>
            <w:r w:rsidR="00DF6D9C" w:rsidRPr="00CB6AEE">
              <w:rPr>
                <w:color w:val="000000"/>
                <w:sz w:val="18"/>
                <w:szCs w:val="18"/>
              </w:rPr>
              <w:t>обогрева  спиральный</w:t>
            </w:r>
            <w:proofErr w:type="gramEnd"/>
            <w:r w:rsidR="00DF6D9C" w:rsidRPr="00CB6AEE">
              <w:rPr>
                <w:color w:val="000000"/>
                <w:sz w:val="18"/>
                <w:szCs w:val="18"/>
              </w:rPr>
              <w:t xml:space="preserve"> (витой),  примыкающий к внутренним стенкам для равномерного прогрева. Разъём питания провода обогрева - двойная контактная группа с направляющим приливом, вмонтирован в жесткий соединитель 22F на камеру увлажнения увлажнителя. Соединитель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имет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 Универсальный </w:t>
            </w:r>
            <w:proofErr w:type="gramStart"/>
            <w:r w:rsidR="00DF6D9C" w:rsidRPr="00CB6AEE">
              <w:rPr>
                <w:color w:val="000000"/>
                <w:sz w:val="18"/>
                <w:szCs w:val="18"/>
              </w:rPr>
              <w:t>генератор  СРАР</w:t>
            </w:r>
            <w:proofErr w:type="gramEnd"/>
            <w:r w:rsidR="00DF6D9C" w:rsidRPr="00CB6AEE">
              <w:rPr>
                <w:color w:val="000000"/>
                <w:sz w:val="18"/>
                <w:szCs w:val="18"/>
              </w:rPr>
              <w:t xml:space="preserve">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SuperSet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диаметром 10мм длиной 0,8 м и патрубок подключения линии мониторинга давления с подключённой линией длиной 1, 6м с стыковочным разъемом к аппаратуре "вставляемый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Луер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лок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". Шланг выдоха выполнен из шланга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Super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Set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и имеет малые порты для предупреждения превышения давления при закупорке. К универсальному генератору может </w:t>
            </w:r>
            <w:proofErr w:type="gramStart"/>
            <w:r w:rsidR="00DF6D9C" w:rsidRPr="00CB6AEE">
              <w:rPr>
                <w:color w:val="000000"/>
                <w:sz w:val="18"/>
                <w:szCs w:val="18"/>
              </w:rPr>
              <w:t>подключаться  назальная</w:t>
            </w:r>
            <w:proofErr w:type="gramEnd"/>
            <w:r w:rsidR="00DF6D9C" w:rsidRPr="00CB6AEE">
              <w:rPr>
                <w:color w:val="000000"/>
                <w:sz w:val="18"/>
                <w:szCs w:val="18"/>
              </w:rPr>
              <w:t xml:space="preserve"> канюля или назальная маска.  Посадочное место для канюли или маски - прямоугольная ниша 12*17мм. В нижней части генератора закреплены две подвязки длиной 14 см для фиксации генератора через отверстия шапочки.  В комплект контура входят: гофрированный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Flextube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дополнительный дыхательный шланг длиной 0,8м для включения в контур камеры увлажнения; </w:t>
            </w:r>
            <w:r w:rsidR="00DF6D9C" w:rsidRPr="00CB6AEE">
              <w:rPr>
                <w:color w:val="000000"/>
                <w:sz w:val="18"/>
                <w:szCs w:val="18"/>
              </w:rPr>
              <w:lastRenderedPageBreak/>
              <w:t xml:space="preserve">ленточный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имеритель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окружности головы для выбора шапочки с цветовой маркировкой размера и круглый шаблон для подбора размера </w:t>
            </w:r>
            <w:proofErr w:type="spellStart"/>
            <w:r w:rsidR="00DF6D9C" w:rsidRPr="00CB6AEE">
              <w:rPr>
                <w:color w:val="000000"/>
                <w:sz w:val="18"/>
                <w:szCs w:val="18"/>
              </w:rPr>
              <w:t>канюди</w:t>
            </w:r>
            <w:proofErr w:type="spellEnd"/>
            <w:r w:rsidR="00DF6D9C" w:rsidRPr="00CB6AEE">
              <w:rPr>
                <w:color w:val="000000"/>
                <w:sz w:val="18"/>
                <w:szCs w:val="18"/>
              </w:rPr>
              <w:t xml:space="preserve"> или маски. Материал: полиэтилен, полипропилен, хлопок, силикон. Упаковка: индивидуальная, клинически чистая. Срок годности (срок гарантии): 3 года от даты изготовления.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E6574E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A26E13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6D9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DF6D9C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DF6D9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164 780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F6D9C" w:rsidRPr="00C102EA" w:rsidTr="00DF6D9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B6AEE" w:rsidRDefault="00DF6D9C" w:rsidP="00DF6D9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DF6D9C" w:rsidP="00DF6D9C">
            <w:pPr>
              <w:rPr>
                <w:b/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Камера увлажнителя малого объема для нагревателя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DF6D9C" w:rsidP="00DF6D9C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Увлажнитель-камера увлажнения для увлажнителей F&amp;P. Для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активного  подогрева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и увлажнения газов, подаваемых пациенту в процессе искусственной вентиляции лёгких с ручным заполнения. Рабочий объём 150мл (эффективный объём 50-240мл), для высокочастотной вентиляции и для неонатального применения при давлении до 180см Н2О и потоке до 140л/мин. Прозрачный корпус - камера с антипригарным покрытием днища, с двумя вход/выход соединительными коннекторами 22м, с градуировкой минимум/максимум, с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поплавком  уровня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продольноармированным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шлангом подачи жидкости с иглой (с предохранительным колпачком). и портом выравнивания давления, с зажимом ручного заполнения. Материалы: полипропилен, полиэтилен,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аллюминий.Упаковка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индивидуальная, клинически чистая. Срок годности (срок гарантии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):  5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лет от даты изготовления.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D9C" w:rsidRPr="00DF6D9C" w:rsidRDefault="00DF6D9C" w:rsidP="00DF6D9C">
            <w:pPr>
              <w:rPr>
                <w:sz w:val="18"/>
                <w:szCs w:val="18"/>
              </w:rPr>
            </w:pPr>
            <w:r w:rsidRPr="00DF6D9C">
              <w:rPr>
                <w:sz w:val="18"/>
                <w:szCs w:val="18"/>
              </w:rPr>
              <w:t>54 140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F6D9C" w:rsidRPr="00C102EA" w:rsidTr="00DF6D9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B6AEE" w:rsidRDefault="00DF6D9C" w:rsidP="00DF6D9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DF6D9C" w:rsidP="00DF6D9C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Шапочки фиксаторы для новорожденных – размер 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DF6D9C" w:rsidP="00DF6D9C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Держатель-фиксатор для шлангов дыхательного контура - шапочка. Открытая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шапочка  размер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3  для пациентов с окружностью головы 28 - 30см,  цвет голубой. Шапочка имеет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подворот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шириной 27мм, выполнена из высококачественного хлопчатобумажного материала. Имеет простроченную зону (двойная строчка шириной 5мм) для усиления подвязочной зоны. Проксимальная открытая часть шапочки имеет треугольные обработанные концы соответствующей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цветоиндикации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(края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обработаны  белой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нитью). Концы завязываются после установки контура для фиксации всей схемы. На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подвороте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внешней стороны расположена крепёжная лента на липучке с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депфируюшей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прокладкой из мягкого материала для снижения давления контура на лицо пациента. В средней части маски пришиты две ленты - липучки для фиксирования отходящих от универсального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генратора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магистралей (трубок) после установки контура. Материал: хлопок, полиэтилен (липучки).  Упаковка: индивидуальная, клинически чистая. Срок годности (срок гарантии): 3 года от даты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 xml:space="preserve">изготовления.   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D9C" w:rsidRPr="00DF6D9C" w:rsidRDefault="00DF6D9C" w:rsidP="00DF6D9C">
            <w:pPr>
              <w:rPr>
                <w:sz w:val="22"/>
                <w:szCs w:val="18"/>
              </w:rPr>
            </w:pPr>
            <w:r w:rsidRPr="00DF6D9C">
              <w:rPr>
                <w:sz w:val="18"/>
                <w:szCs w:val="18"/>
              </w:rPr>
              <w:t>50 610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CB6AEE" w:rsidRPr="00C102EA" w:rsidTr="00DF6D9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B6AEE" w:rsidRDefault="00CB6AEE" w:rsidP="00CB6AEE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Pr="00CB6AEE" w:rsidRDefault="00CB6AEE" w:rsidP="00CB6AEE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Канюли назальные для новорожденных – размер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Pr="00CB6AEE" w:rsidRDefault="00CB6AEE" w:rsidP="00CB6AEE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Назальная канюля для новорожденных для дыхательного контура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nFlow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универсальным генератором потока. Назальная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нанюля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прямоугольным основанием. Монтируется на посадочное место универсального генератора потока. Канюля </w:t>
            </w:r>
            <w:proofErr w:type="spellStart"/>
            <w:proofErr w:type="gramStart"/>
            <w:r w:rsidRPr="00CB6AEE">
              <w:rPr>
                <w:color w:val="000000"/>
                <w:sz w:val="18"/>
                <w:szCs w:val="18"/>
              </w:rPr>
              <w:t>прозрачная,мягкая</w:t>
            </w:r>
            <w:proofErr w:type="spellEnd"/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атравматичная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, размер M средний,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цветоиндикация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- </w:t>
            </w:r>
            <w:r w:rsidRPr="00CB6AEE">
              <w:rPr>
                <w:color w:val="000000"/>
                <w:sz w:val="18"/>
                <w:szCs w:val="18"/>
              </w:rPr>
              <w:lastRenderedPageBreak/>
              <w:t xml:space="preserve">светло-голубая, с двумя зубцами цилиндрической формы с расширяющимся основанием диаметр </w:t>
            </w:r>
            <w:bookmarkStart w:id="0" w:name="_GoBack"/>
            <w:bookmarkEnd w:id="0"/>
            <w:r w:rsidRPr="00CB6AEE">
              <w:rPr>
                <w:color w:val="000000"/>
                <w:sz w:val="18"/>
                <w:szCs w:val="18"/>
              </w:rPr>
              <w:t xml:space="preserve">4мм, длина 6мм. Посадочный размер основания канюли 12*17мм. Канюля снабжена боковыми треугольными лепестками для смягчения воздействия форм универсального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генратора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на носовую область пациента. Лепестки расположены под углом 45 град. к основанию канюли, длина лепестка 6,0мм. Материал: силикон. Упаковка: индивидуальная, клинически чистая. Срок годности (срок гарантии): 3 года </w:t>
            </w:r>
          </w:p>
          <w:p w:rsidR="00CB6AEE" w:rsidRPr="00CB6AEE" w:rsidRDefault="00CB6AEE" w:rsidP="00CB6AEE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от даты изготовления.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Default="00CB6AEE" w:rsidP="00CB6A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Default="00CB6AEE" w:rsidP="00CB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Default="00CB6AEE" w:rsidP="00CB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AEE" w:rsidRPr="00DF6D9C" w:rsidRDefault="00CB6AEE" w:rsidP="00CB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102EA" w:rsidRDefault="00CB6AEE" w:rsidP="00CB6AE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102EA" w:rsidRDefault="00CB6AEE" w:rsidP="00CB6AE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CB6AEE" w:rsidRPr="00C102EA" w:rsidTr="00DF6D9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B6AEE" w:rsidRDefault="00CB6AEE" w:rsidP="00CB6AEE">
            <w:pPr>
              <w:tabs>
                <w:tab w:val="left" w:pos="191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Pr="00CB6AEE" w:rsidRDefault="00CB6AEE" w:rsidP="00CB6AEE">
            <w:pPr>
              <w:rPr>
                <w:b/>
                <w:color w:val="000000"/>
                <w:sz w:val="20"/>
                <w:szCs w:val="22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Pr="00CB6AEE" w:rsidRDefault="00CB6AEE" w:rsidP="00CB6AE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Pr="00CB6AEE" w:rsidRDefault="00CB6AEE" w:rsidP="00CB6AEE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AEE" w:rsidRPr="00CB6AEE" w:rsidRDefault="00CB6AEE" w:rsidP="00CB6AEE">
            <w:pPr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B6AEE" w:rsidRDefault="00CB6AEE" w:rsidP="00CB6AEE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AEE" w:rsidRPr="00CB6AEE" w:rsidRDefault="00CB6AEE" w:rsidP="00CB6AEE">
            <w:pPr>
              <w:rPr>
                <w:b/>
                <w:sz w:val="20"/>
                <w:szCs w:val="18"/>
              </w:rPr>
            </w:pPr>
            <w:r w:rsidRPr="00CB6AEE">
              <w:rPr>
                <w:b/>
                <w:sz w:val="20"/>
                <w:szCs w:val="18"/>
              </w:rPr>
              <w:t>275 420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102EA" w:rsidRDefault="00CB6AEE" w:rsidP="00CB6AE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C102EA" w:rsidRDefault="00CB6AEE" w:rsidP="00CB6AE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F11AF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26E13"/>
    <w:rsid w:val="00A37C89"/>
    <w:rsid w:val="00A76F94"/>
    <w:rsid w:val="00A80603"/>
    <w:rsid w:val="00A9158E"/>
    <w:rsid w:val="00AE76F8"/>
    <w:rsid w:val="00AF564A"/>
    <w:rsid w:val="00AF7717"/>
    <w:rsid w:val="00B1241C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216"/>
    <w:rsid w:val="00C34F32"/>
    <w:rsid w:val="00C36F3C"/>
    <w:rsid w:val="00C40DBD"/>
    <w:rsid w:val="00C70667"/>
    <w:rsid w:val="00C720C0"/>
    <w:rsid w:val="00C72FE3"/>
    <w:rsid w:val="00C81A94"/>
    <w:rsid w:val="00C94B69"/>
    <w:rsid w:val="00CB5ACF"/>
    <w:rsid w:val="00CB6AEE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DF6D9C"/>
    <w:rsid w:val="00E008D2"/>
    <w:rsid w:val="00E45715"/>
    <w:rsid w:val="00E6574E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5285-31CA-4125-96EE-71C4AD35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155</cp:revision>
  <cp:lastPrinted>2021-04-12T06:04:00Z</cp:lastPrinted>
  <dcterms:created xsi:type="dcterms:W3CDTF">2018-02-12T09:02:00Z</dcterms:created>
  <dcterms:modified xsi:type="dcterms:W3CDTF">2021-09-27T05:06:00Z</dcterms:modified>
</cp:coreProperties>
</file>