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627EEF" w:rsidRDefault="005816FE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886FA2">
        <w:rPr>
          <w:b/>
          <w:sz w:val="22"/>
          <w:szCs w:val="22"/>
        </w:rPr>
        <w:t xml:space="preserve"> 26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886FA2">
        <w:rPr>
          <w:b/>
          <w:sz w:val="22"/>
          <w:szCs w:val="22"/>
        </w:rPr>
        <w:t xml:space="preserve">             5 октября</w:t>
      </w:r>
      <w:r w:rsidR="0030265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>2021</w:t>
      </w:r>
      <w:r w:rsidRPr="00B360AD">
        <w:rPr>
          <w:b/>
          <w:sz w:val="22"/>
          <w:szCs w:val="22"/>
        </w:rPr>
        <w:t xml:space="preserve"> года</w:t>
      </w:r>
    </w:p>
    <w:p w:rsidR="00A71FA9" w:rsidRPr="00B360AD" w:rsidRDefault="00A71FA9" w:rsidP="00C16805">
      <w:pPr>
        <w:jc w:val="both"/>
        <w:rPr>
          <w:b/>
          <w:sz w:val="22"/>
          <w:szCs w:val="22"/>
        </w:rPr>
      </w:pPr>
    </w:p>
    <w:p w:rsidR="003E6501" w:rsidRDefault="00421F48" w:rsidP="00E75BC2">
      <w:pPr>
        <w:ind w:left="-1276" w:firstLine="708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1. 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886FA2">
        <w:rPr>
          <w:b/>
          <w:sz w:val="22"/>
          <w:szCs w:val="22"/>
        </w:rPr>
        <w:t>04.10</w:t>
      </w:r>
      <w:r w:rsidRPr="00B360AD">
        <w:rPr>
          <w:b/>
          <w:sz w:val="22"/>
          <w:szCs w:val="22"/>
        </w:rPr>
        <w:t>.20</w:t>
      </w:r>
      <w:r w:rsidR="00803311">
        <w:rPr>
          <w:b/>
          <w:sz w:val="22"/>
          <w:szCs w:val="22"/>
        </w:rPr>
        <w:t xml:space="preserve">21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886FA2">
        <w:rPr>
          <w:b/>
          <w:sz w:val="22"/>
          <w:szCs w:val="22"/>
        </w:rPr>
        <w:t>26</w:t>
      </w:r>
      <w:r w:rsidR="008F180A">
        <w:rPr>
          <w:b/>
          <w:sz w:val="22"/>
          <w:szCs w:val="22"/>
        </w:rPr>
        <w:t xml:space="preserve"> от</w:t>
      </w:r>
      <w:r w:rsidR="00886FA2">
        <w:rPr>
          <w:b/>
          <w:sz w:val="22"/>
          <w:szCs w:val="22"/>
        </w:rPr>
        <w:t xml:space="preserve"> 27</w:t>
      </w:r>
      <w:r w:rsidR="00D43AB7">
        <w:rPr>
          <w:b/>
          <w:sz w:val="22"/>
          <w:szCs w:val="22"/>
        </w:rPr>
        <w:t>.</w:t>
      </w:r>
      <w:r w:rsidR="00A71FA9">
        <w:rPr>
          <w:b/>
          <w:sz w:val="22"/>
          <w:szCs w:val="22"/>
        </w:rPr>
        <w:t>09</w:t>
      </w:r>
      <w:r w:rsidR="00803311">
        <w:rPr>
          <w:b/>
          <w:sz w:val="22"/>
          <w:szCs w:val="22"/>
        </w:rPr>
        <w:t>.2021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г, согласно постановлению Правительства Республики Каза</w:t>
      </w:r>
      <w:r w:rsidR="008F13C5">
        <w:rPr>
          <w:b/>
          <w:sz w:val="22"/>
          <w:szCs w:val="22"/>
        </w:rPr>
        <w:t>хстан от</w:t>
      </w:r>
      <w:r w:rsidR="008F13C5">
        <w:rPr>
          <w:b/>
        </w:rPr>
        <w:t xml:space="preserve"> 4 июня 2021 года № 375 </w:t>
      </w:r>
      <w:r w:rsidR="008F13C5" w:rsidRPr="002B5BA6">
        <w:rPr>
          <w:b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</w:t>
      </w:r>
      <w:r w:rsidR="008F13C5" w:rsidRPr="00814651">
        <w:rPr>
          <w:b/>
        </w:rPr>
        <w:t xml:space="preserve"> Заказчик/организатор государственных закупок: КГП на ПХВ «</w:t>
      </w:r>
      <w:proofErr w:type="spellStart"/>
      <w:r w:rsidR="008F13C5" w:rsidRPr="00814651">
        <w:rPr>
          <w:b/>
        </w:rPr>
        <w:t>Жамбылская</w:t>
      </w:r>
      <w:proofErr w:type="spellEnd"/>
      <w:r w:rsidR="008F13C5"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="008F13C5" w:rsidRPr="00814651">
        <w:rPr>
          <w:b/>
        </w:rPr>
        <w:t>Жамбылский</w:t>
      </w:r>
      <w:proofErr w:type="spellEnd"/>
      <w:r w:rsidR="008F13C5" w:rsidRPr="00814651">
        <w:rPr>
          <w:b/>
        </w:rPr>
        <w:t xml:space="preserve"> р-н с. Пресновка ул. Довженко 46</w:t>
      </w:r>
      <w:r w:rsidRPr="00B360AD">
        <w:rPr>
          <w:b/>
          <w:sz w:val="22"/>
          <w:szCs w:val="22"/>
        </w:rPr>
        <w:t xml:space="preserve">». </w:t>
      </w:r>
    </w:p>
    <w:p w:rsidR="00C16805" w:rsidRPr="00B360AD" w:rsidRDefault="00C16805" w:rsidP="00E75BC2">
      <w:pPr>
        <w:ind w:left="-1276" w:firstLine="708"/>
        <w:jc w:val="both"/>
        <w:rPr>
          <w:b/>
          <w:sz w:val="22"/>
          <w:szCs w:val="22"/>
        </w:rPr>
      </w:pPr>
    </w:p>
    <w:p w:rsidR="00D355AF" w:rsidRDefault="00846E95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3E6501" w:rsidRPr="00B360AD">
        <w:rPr>
          <w:b/>
          <w:sz w:val="22"/>
          <w:szCs w:val="22"/>
        </w:rPr>
        <w:t>2. Краткое описание и цена закупаемых товаров:</w:t>
      </w:r>
    </w:p>
    <w:p w:rsidR="0030265D" w:rsidRDefault="0030265D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tbl>
      <w:tblPr>
        <w:tblW w:w="11482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260"/>
        <w:gridCol w:w="1134"/>
        <w:gridCol w:w="567"/>
        <w:gridCol w:w="850"/>
        <w:gridCol w:w="1276"/>
        <w:gridCol w:w="1134"/>
        <w:gridCol w:w="850"/>
      </w:tblGrid>
      <w:tr w:rsidR="00886FA2" w:rsidRPr="00C102EA" w:rsidTr="00886FA2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B6AEE" w:rsidRDefault="00886FA2" w:rsidP="002C5948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  <w:lang w:val="kk-KZ"/>
              </w:rPr>
              <w:t>№ лота</w:t>
            </w:r>
          </w:p>
          <w:p w:rsidR="00886FA2" w:rsidRPr="00CB6AEE" w:rsidRDefault="00886FA2" w:rsidP="002C5948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FA2" w:rsidRPr="00CB6AEE" w:rsidRDefault="00886FA2" w:rsidP="002C5948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FA2" w:rsidRPr="00CB6AEE" w:rsidRDefault="00886FA2" w:rsidP="002C5948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</w:p>
          <w:p w:rsidR="00886FA2" w:rsidRPr="00C102EA" w:rsidRDefault="00886FA2" w:rsidP="002C5948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102EA" w:rsidRDefault="00886FA2" w:rsidP="002C5948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FA2" w:rsidRPr="00C102EA" w:rsidRDefault="00886FA2" w:rsidP="002C5948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886FA2" w:rsidRPr="00C102EA" w:rsidTr="00886FA2">
        <w:trPr>
          <w:trHeight w:val="1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B6AEE" w:rsidRDefault="00886FA2" w:rsidP="00886FA2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B6AEE" w:rsidRDefault="00886FA2" w:rsidP="002C59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B6AEE">
              <w:rPr>
                <w:color w:val="000000"/>
                <w:sz w:val="18"/>
                <w:szCs w:val="18"/>
                <w:lang w:eastAsia="ru-RU"/>
              </w:rPr>
              <w:t xml:space="preserve">Дыхательный контур для </w:t>
            </w:r>
            <w:proofErr w:type="spellStart"/>
            <w:r w:rsidRPr="00CB6AEE">
              <w:rPr>
                <w:color w:val="000000"/>
                <w:sz w:val="18"/>
                <w:szCs w:val="18"/>
                <w:lang w:eastAsia="ru-RU"/>
              </w:rPr>
              <w:t>неинвазивной</w:t>
            </w:r>
            <w:proofErr w:type="spellEnd"/>
            <w:r w:rsidRPr="00CB6AEE">
              <w:rPr>
                <w:color w:val="000000"/>
                <w:sz w:val="18"/>
                <w:szCs w:val="18"/>
                <w:lang w:eastAsia="ru-RU"/>
              </w:rPr>
              <w:t xml:space="preserve"> вентиляции новорожденных с проводом нагревательным, для адаптера </w:t>
            </w:r>
            <w:r w:rsidRPr="00CB6AEE">
              <w:rPr>
                <w:color w:val="000000"/>
                <w:sz w:val="18"/>
                <w:szCs w:val="18"/>
                <w:lang w:val="en-US" w:eastAsia="ru-RU"/>
              </w:rPr>
              <w:t>REF</w:t>
            </w:r>
            <w:r w:rsidRPr="00CB6AEE">
              <w:rPr>
                <w:color w:val="000000"/>
                <w:sz w:val="18"/>
                <w:szCs w:val="18"/>
                <w:lang w:eastAsia="ru-RU"/>
              </w:rPr>
              <w:t xml:space="preserve"> 5600 «</w:t>
            </w:r>
            <w:proofErr w:type="spellStart"/>
            <w:r w:rsidRPr="00CB6AEE">
              <w:rPr>
                <w:color w:val="000000"/>
                <w:sz w:val="18"/>
                <w:szCs w:val="18"/>
                <w:lang w:val="en-US" w:eastAsia="ru-RU"/>
              </w:rPr>
              <w:t>Intersurqial</w:t>
            </w:r>
            <w:proofErr w:type="spellEnd"/>
            <w:r w:rsidRPr="00CB6AEE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B6AEE" w:rsidRDefault="00886FA2" w:rsidP="002C5948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 xml:space="preserve"> Дыхательный контур реанимационный для новорожденных с обогревом для назального СРАР. Дыхательный контур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nFlow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однолинейный, общая длина 1,6м состоит из гофрированного шланга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Flextube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с обогревом диаметром 15мм, длиной 1,2м, переходящим в трубку диаметром 6мм длиной 0,5м, подводящей поток к универсальному генератору СРАР. Провод 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>обогрева  спиральный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 (витой),  примыкающий к внутренним стенкам для равномерного прогрева. Разъём питания провода обогрева - двойная контактная группа с направляющим приливом, вмонтирован в жесткий соединитель 22F на камеру увлажнения увлажнителя. Соединитель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имет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температурный порт 7,6мм с невыпадающей герметизирующей вставкой. Аналогичный температурный порт располагается на дистальном конце гофрированного шланга. Универсальный 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>генератор  СРАР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 - генератор с переменным потоком - схемой разобщения инспираторного и экспираторного потоков имеет патрубки: подключения магистрали свежего потока (инспираторный поток), патрубок отвода газов (экспираторный поток) с отводящим шлангом растягивающимся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SuperSet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диаметром 10мм длиной 0,8 м и патрубок подключения линии мониторинга давления с подключённой линией длиной 1, 6м с стыковочным разъемом к аппаратуре "вставляемый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Луер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лок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". Шланг выдоха выполнен из шланга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Super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Set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и имеет малые порты для предупреждения превышения давления при закупорке. К универсальному генератору может 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 xml:space="preserve">подключаться  </w:t>
            </w:r>
            <w:r w:rsidRPr="00CB6AEE">
              <w:rPr>
                <w:color w:val="000000"/>
                <w:sz w:val="18"/>
                <w:szCs w:val="18"/>
              </w:rPr>
              <w:lastRenderedPageBreak/>
              <w:t>назальная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 канюля или назальная маска.  Посадочное место для канюли или маски - прямоугольная ниша 12*17мм. В нижней части генератора закреплены две подвязки длиной 14 см для фиксации генератора через отверстия шапочки.  В комплект контура входят: гофрированный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Flextube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дополнительный дыхательный шланг длиной 0,8м для включения в контур камеры увлажнения; ленточный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имеритель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окружности головы для выбора шапочки с цветовой маркировкой размера и круглый шаблон для подбора размера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канюди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или маски. Материал: полиэтилен, полипропилен, хлопок, силикон. Упаковка: индивидуальная, клинически чистая. Срок годности (срок гарантии): 3 года от даты изготовления.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FA2" w:rsidRPr="00324EF9" w:rsidRDefault="00886FA2" w:rsidP="002C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164 780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102EA" w:rsidRDefault="00886FA2" w:rsidP="002C594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86FA2" w:rsidRPr="00C102EA" w:rsidTr="00886FA2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B6AEE" w:rsidRDefault="00886FA2" w:rsidP="00886FA2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  <w:r w:rsidRPr="00CB6AEE">
              <w:rPr>
                <w:rFonts w:ascii="Times New Roman" w:hAnsi="Times New Roman"/>
                <w:sz w:val="18"/>
                <w:szCs w:val="18"/>
              </w:rPr>
              <w:lastRenderedPageBreak/>
              <w:t>222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B6AEE" w:rsidRDefault="00886FA2" w:rsidP="002C5948">
            <w:pPr>
              <w:rPr>
                <w:b/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>Камера увлажнителя малого объема для нагревателя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B6AEE" w:rsidRDefault="00886FA2" w:rsidP="002C5948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 xml:space="preserve">Увлажнитель-камера увлажнения для увлажнителей F&amp;P. Для 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>активного  подогрева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 и увлажнения газов, подаваемых пациенту в процессе искусственной вентиляции лёгких с ручным заполнения. Рабочий объём 150мл (эффективный объём 50-240мл), для высокочастотной вентиляции и для неонатального применения при давлении до 180см Н2О и потоке до 140л/мин. Прозрачный корпус - камера с антипригарным покрытием днища, с двумя вход/выход соединительными коннекторами 22м, с градуировкой минимум/максимум, с 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>поплавком  уровня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, с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продольноармированным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шлангом подачи жидкости с иглой (с предохранительным колпачком). и портом выравнивания давления, с зажимом ручного заполнения. Материалы: полипропилен, полиэтилен,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аллюминий.Упаковка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индивидуальная, клинически чистая. Срок годности (срок гарантии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>):  5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 лет от даты изготовления.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FA2" w:rsidRPr="00DF6D9C" w:rsidRDefault="00886FA2" w:rsidP="002C5948">
            <w:pPr>
              <w:rPr>
                <w:sz w:val="18"/>
                <w:szCs w:val="18"/>
              </w:rPr>
            </w:pPr>
            <w:r w:rsidRPr="00DF6D9C">
              <w:rPr>
                <w:sz w:val="18"/>
                <w:szCs w:val="18"/>
              </w:rPr>
              <w:t>54 140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102EA" w:rsidRDefault="00886FA2" w:rsidP="002C594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86FA2" w:rsidRPr="00C102EA" w:rsidTr="00886FA2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B6AEE" w:rsidRDefault="00886FA2" w:rsidP="00886FA2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B6AEE" w:rsidRDefault="00886FA2" w:rsidP="002C5948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>Шапочки фиксаторы для новорожденных – размер 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B6AEE" w:rsidRDefault="00886FA2" w:rsidP="002C5948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 xml:space="preserve">Держатель-фиксатор для шлангов дыхательного контура - шапочка. Открытая 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>шапочка  размер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 3  для пациентов с окружностью головы 28 - 30см,  цвет голубой. Шапочка имеет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атравматичный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подворот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шириной 27мм, выполнена из высококачественного хлопчатобумажного материала. Имеет простроченную зону (двойная строчка шириной 5мм) для усиления подвязочной зоны. Проксимальная открытая часть шапочки имеет треугольные обработанные концы соответствующей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цветоиндикации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(края 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>обработаны  белой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 нитью). Концы завязываются после установки контура для фиксации всей схемы. На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подвороте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с внешней стороны расположена крепёжная лента на липучке с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депфируюшей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прокладкой из мягкого материала для снижения давления контура на лицо пациента. В средней части маски пришиты две ленты - липучки для фиксирования отходящих от универсального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генратора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магистралей (трубок) после </w:t>
            </w:r>
            <w:r w:rsidRPr="00CB6AEE">
              <w:rPr>
                <w:color w:val="000000"/>
                <w:sz w:val="18"/>
                <w:szCs w:val="18"/>
              </w:rPr>
              <w:lastRenderedPageBreak/>
              <w:t xml:space="preserve">установки контура. Материал: хлопок, полиэтилен (липучки).  Упаковка: индивидуальная, клинически чистая. Срок годности (срок гарантии): 3 года от даты 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 xml:space="preserve">изготовления.   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FA2" w:rsidRPr="00DF6D9C" w:rsidRDefault="00886FA2" w:rsidP="002C5948">
            <w:pPr>
              <w:rPr>
                <w:szCs w:val="18"/>
              </w:rPr>
            </w:pPr>
            <w:r w:rsidRPr="00DF6D9C">
              <w:rPr>
                <w:sz w:val="18"/>
                <w:szCs w:val="18"/>
              </w:rPr>
              <w:t>50 610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102EA" w:rsidRDefault="00886FA2" w:rsidP="002C594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86FA2" w:rsidRPr="00C102EA" w:rsidTr="00886FA2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B6AEE" w:rsidRDefault="00886FA2" w:rsidP="00886FA2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B6AEE" w:rsidRDefault="00886FA2" w:rsidP="002C5948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>Канюли назальные для новорожденных – размер 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B6AEE" w:rsidRDefault="00886FA2" w:rsidP="002C5948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 xml:space="preserve">Назальная канюля для новорожденных для дыхательного контура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nFlow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с универсальным генератором потока. Назальная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нанюля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с прямоугольным основанием. Монтируется на посадочное место универсального генератора потока. Канюля </w:t>
            </w:r>
            <w:proofErr w:type="spellStart"/>
            <w:proofErr w:type="gramStart"/>
            <w:r w:rsidRPr="00CB6AEE">
              <w:rPr>
                <w:color w:val="000000"/>
                <w:sz w:val="18"/>
                <w:szCs w:val="18"/>
              </w:rPr>
              <w:t>прозрачная,мягкая</w:t>
            </w:r>
            <w:proofErr w:type="spellEnd"/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атравматичная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, размер M средний,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цветоиндикация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- светло-голубая, с двумя зубцами цилиндрической формы с расширяющимся основанием диаметр 4мм, длина 6мм. Посадочный размер основания канюли 12*17мм. Канюля снабжена боковыми треугольными лепестками для смягчения воздействия форм универсального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генратора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на носовую область пациента. Лепестки расположены под углом 45 град. к основанию канюли, длина лепестка 6,0мм. Материал: силикон. Упаковка: индивидуальная, клинически чистая. Срок годности (срок гарантии): 3 года </w:t>
            </w:r>
          </w:p>
          <w:p w:rsidR="00886FA2" w:rsidRPr="00CB6AEE" w:rsidRDefault="00886FA2" w:rsidP="002C5948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>от даты изготовления.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Default="00886FA2" w:rsidP="002C594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Default="00886FA2" w:rsidP="002C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Default="00886FA2" w:rsidP="002C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FA2" w:rsidRPr="00DF6D9C" w:rsidRDefault="00886FA2" w:rsidP="002C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102EA" w:rsidRDefault="00886FA2" w:rsidP="002C594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886FA2" w:rsidRPr="00C102EA" w:rsidTr="00886FA2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B6AEE" w:rsidRDefault="00886FA2" w:rsidP="002C5948">
            <w:pPr>
              <w:tabs>
                <w:tab w:val="left" w:pos="191"/>
              </w:tabs>
              <w:ind w:left="142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B6AEE" w:rsidRDefault="00886FA2" w:rsidP="002C5948">
            <w:pPr>
              <w:rPr>
                <w:b/>
                <w:color w:val="000000"/>
                <w:sz w:val="20"/>
              </w:rPr>
            </w:pPr>
            <w:r w:rsidRPr="00CB6AEE">
              <w:rPr>
                <w:b/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B6AEE" w:rsidRDefault="00886FA2" w:rsidP="002C5948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B6AEE" w:rsidRDefault="00886FA2" w:rsidP="002C5948">
            <w:pPr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B6AEE" w:rsidRDefault="00886FA2" w:rsidP="002C5948">
            <w:pPr>
              <w:rPr>
                <w:b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B6AEE" w:rsidRDefault="00886FA2" w:rsidP="002C5948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FA2" w:rsidRPr="00CB6AEE" w:rsidRDefault="00886FA2" w:rsidP="002C5948">
            <w:pPr>
              <w:rPr>
                <w:b/>
                <w:sz w:val="20"/>
                <w:szCs w:val="18"/>
              </w:rPr>
            </w:pPr>
            <w:r w:rsidRPr="00CB6AEE">
              <w:rPr>
                <w:b/>
                <w:sz w:val="20"/>
                <w:szCs w:val="18"/>
              </w:rPr>
              <w:t>275 420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102EA" w:rsidRDefault="00886FA2" w:rsidP="002C594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:rsidR="00FC6976" w:rsidRDefault="00F934F2" w:rsidP="00FC69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:rsidR="00420999" w:rsidRPr="00FC6976" w:rsidRDefault="00FC6976" w:rsidP="00FC69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EC49C5" w:rsidRPr="00B360AD">
        <w:rPr>
          <w:b/>
          <w:sz w:val="22"/>
          <w:szCs w:val="22"/>
        </w:rPr>
        <w:t xml:space="preserve"> </w:t>
      </w:r>
      <w:r w:rsidR="00420999"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p w:rsidR="00E25325" w:rsidRPr="00B360AD" w:rsidRDefault="00E2532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957"/>
        <w:gridCol w:w="2025"/>
        <w:gridCol w:w="1716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A963AB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t>ТОО</w:t>
            </w:r>
            <w:r w:rsidR="002C6790" w:rsidRPr="000E53B9">
              <w:t xml:space="preserve"> </w:t>
            </w:r>
            <w:r w:rsidR="002C6790" w:rsidRPr="000E53B9">
              <w:rPr>
                <w:lang w:val="kk-KZ"/>
              </w:rPr>
              <w:t>«</w:t>
            </w:r>
            <w:proofErr w:type="gramStart"/>
            <w:r w:rsidR="00886FA2">
              <w:rPr>
                <w:lang w:val="en-US"/>
              </w:rPr>
              <w:t>SUNMEDICA</w:t>
            </w:r>
            <w:r w:rsidR="002C6790" w:rsidRPr="000E53B9">
              <w:t>»</w:t>
            </w:r>
            <w:r w:rsidR="00886FA2">
              <w:t>(</w:t>
            </w:r>
            <w:proofErr w:type="gramEnd"/>
            <w:r w:rsidR="00886FA2">
              <w:t>САНМЕДИКА)</w:t>
            </w:r>
          </w:p>
        </w:tc>
        <w:tc>
          <w:tcPr>
            <w:tcW w:w="1090" w:type="pct"/>
            <w:vAlign w:val="center"/>
          </w:tcPr>
          <w:p w:rsidR="00420999" w:rsidRPr="00B360AD" w:rsidRDefault="00886FA2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01.10</w:t>
            </w:r>
            <w:r w:rsidR="002C6790">
              <w:rPr>
                <w:sz w:val="22"/>
                <w:szCs w:val="22"/>
                <w:lang w:eastAsia="ru-RU"/>
              </w:rPr>
              <w:t>.2021 г</w:t>
            </w:r>
          </w:p>
        </w:tc>
        <w:tc>
          <w:tcPr>
            <w:tcW w:w="924" w:type="pct"/>
            <w:vAlign w:val="center"/>
          </w:tcPr>
          <w:p w:rsidR="00420999" w:rsidRPr="00B360AD" w:rsidRDefault="00886FA2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  <w:r w:rsidR="002C6790">
              <w:rPr>
                <w:sz w:val="22"/>
                <w:szCs w:val="22"/>
                <w:lang w:eastAsia="ru-RU"/>
              </w:rPr>
              <w:t xml:space="preserve"> ч 00 мин</w:t>
            </w:r>
          </w:p>
        </w:tc>
      </w:tr>
    </w:tbl>
    <w:p w:rsidR="00A963AB" w:rsidRDefault="00A963AB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886FA2">
        <w:rPr>
          <w:caps/>
          <w:sz w:val="22"/>
          <w:szCs w:val="22"/>
          <w:lang w:eastAsia="ru-RU"/>
        </w:rPr>
        <w:t>4 октября</w:t>
      </w:r>
      <w:r w:rsidR="003D349A">
        <w:rPr>
          <w:caps/>
          <w:sz w:val="22"/>
          <w:szCs w:val="22"/>
          <w:lang w:eastAsia="ru-RU"/>
        </w:rPr>
        <w:t xml:space="preserve"> 2021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697320" w:rsidRPr="00E25325" w:rsidRDefault="00420999" w:rsidP="00E25325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E25325">
        <w:rPr>
          <w:b/>
          <w:caps/>
          <w:sz w:val="22"/>
          <w:szCs w:val="22"/>
          <w:lang w:eastAsia="ru-RU"/>
        </w:rPr>
        <w:t xml:space="preserve">              </w:t>
      </w:r>
      <w:r w:rsidR="00E25325" w:rsidRPr="00E25325">
        <w:rPr>
          <w:b/>
          <w:caps/>
          <w:sz w:val="22"/>
          <w:szCs w:val="22"/>
          <w:lang w:eastAsia="ru-RU"/>
        </w:rPr>
        <w:t xml:space="preserve">                            </w:t>
      </w:r>
    </w:p>
    <w:p w:rsidR="005B30DF" w:rsidRDefault="0030265D" w:rsidP="0030265D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                                </w:t>
      </w:r>
    </w:p>
    <w:p w:rsidR="004C0E9B" w:rsidRDefault="005B30DF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                                </w:t>
      </w:r>
    </w:p>
    <w:p w:rsidR="004C0E9B" w:rsidRDefault="004C0E9B" w:rsidP="00F427D1">
      <w:pPr>
        <w:suppressAutoHyphens w:val="0"/>
        <w:rPr>
          <w:b/>
          <w:caps/>
          <w:sz w:val="22"/>
          <w:szCs w:val="22"/>
          <w:lang w:eastAsia="ru-RU"/>
        </w:rPr>
      </w:pPr>
    </w:p>
    <w:p w:rsidR="004C0E9B" w:rsidRDefault="004C0E9B" w:rsidP="00F427D1">
      <w:pPr>
        <w:suppressAutoHyphens w:val="0"/>
        <w:rPr>
          <w:b/>
          <w:caps/>
          <w:sz w:val="22"/>
          <w:szCs w:val="22"/>
          <w:lang w:eastAsia="ru-RU"/>
        </w:rPr>
      </w:pPr>
    </w:p>
    <w:p w:rsidR="004C0E9B" w:rsidRDefault="004C0E9B" w:rsidP="00F427D1">
      <w:pPr>
        <w:suppressAutoHyphens w:val="0"/>
        <w:rPr>
          <w:b/>
          <w:caps/>
          <w:sz w:val="22"/>
          <w:szCs w:val="22"/>
          <w:lang w:eastAsia="ru-RU"/>
        </w:rPr>
      </w:pPr>
    </w:p>
    <w:p w:rsidR="00F427D1" w:rsidRDefault="005B30DF" w:rsidP="004C0E9B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</w:t>
      </w:r>
      <w:r w:rsidR="00420999" w:rsidRPr="00B360AD">
        <w:rPr>
          <w:b/>
          <w:caps/>
          <w:sz w:val="22"/>
          <w:szCs w:val="22"/>
          <w:lang w:eastAsia="ru-RU"/>
        </w:rPr>
        <w:t>Цена за ед.изм. (в тенге)</w:t>
      </w:r>
      <w:r w:rsidR="00F427D1">
        <w:rPr>
          <w:b/>
          <w:caps/>
          <w:sz w:val="22"/>
          <w:szCs w:val="22"/>
          <w:lang w:eastAsia="ru-RU"/>
        </w:rPr>
        <w:t xml:space="preserve">  </w:t>
      </w:r>
    </w:p>
    <w:p w:rsidR="00FC6976" w:rsidRDefault="00F427D1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</w:t>
      </w:r>
    </w:p>
    <w:tbl>
      <w:tblPr>
        <w:tblW w:w="1091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827"/>
        <w:gridCol w:w="850"/>
        <w:gridCol w:w="851"/>
        <w:gridCol w:w="1134"/>
        <w:gridCol w:w="1842"/>
      </w:tblGrid>
      <w:tr w:rsidR="00886FA2" w:rsidRPr="00C102EA" w:rsidTr="00886FA2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B6AEE" w:rsidRDefault="00886FA2" w:rsidP="002C5948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  <w:lang w:val="kk-KZ"/>
              </w:rPr>
              <w:t>№ лота</w:t>
            </w:r>
          </w:p>
          <w:p w:rsidR="00886FA2" w:rsidRPr="00CB6AEE" w:rsidRDefault="00886FA2" w:rsidP="002C5948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FA2" w:rsidRPr="00CB6AEE" w:rsidRDefault="00886FA2" w:rsidP="002C5948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FA2" w:rsidRPr="00CB6AEE" w:rsidRDefault="00886FA2" w:rsidP="002C5948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FA2" w:rsidRPr="002579D0" w:rsidRDefault="00886FA2" w:rsidP="002C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ТОО «</w:t>
            </w:r>
            <w:r>
              <w:rPr>
                <w:sz w:val="18"/>
                <w:szCs w:val="18"/>
                <w:lang w:val="en-US"/>
              </w:rPr>
              <w:t>SUNMEDICA</w:t>
            </w:r>
            <w:r>
              <w:rPr>
                <w:sz w:val="18"/>
                <w:szCs w:val="18"/>
              </w:rPr>
              <w:t>»</w:t>
            </w:r>
          </w:p>
        </w:tc>
      </w:tr>
      <w:tr w:rsidR="00886FA2" w:rsidRPr="00C102EA" w:rsidTr="00886FA2">
        <w:trPr>
          <w:trHeight w:val="1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B6AEE" w:rsidRDefault="00886FA2" w:rsidP="00886FA2">
            <w:pPr>
              <w:pStyle w:val="a3"/>
              <w:numPr>
                <w:ilvl w:val="0"/>
                <w:numId w:val="21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B6AEE" w:rsidRDefault="00886FA2" w:rsidP="002C59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CB6AEE">
              <w:rPr>
                <w:color w:val="000000"/>
                <w:sz w:val="18"/>
                <w:szCs w:val="18"/>
                <w:lang w:eastAsia="ru-RU"/>
              </w:rPr>
              <w:t xml:space="preserve">Дыхательный контур для </w:t>
            </w:r>
            <w:proofErr w:type="spellStart"/>
            <w:r w:rsidRPr="00CB6AEE">
              <w:rPr>
                <w:color w:val="000000"/>
                <w:sz w:val="18"/>
                <w:szCs w:val="18"/>
                <w:lang w:eastAsia="ru-RU"/>
              </w:rPr>
              <w:t>неинвазивной</w:t>
            </w:r>
            <w:proofErr w:type="spellEnd"/>
            <w:r w:rsidRPr="00CB6AEE">
              <w:rPr>
                <w:color w:val="000000"/>
                <w:sz w:val="18"/>
                <w:szCs w:val="18"/>
                <w:lang w:eastAsia="ru-RU"/>
              </w:rPr>
              <w:t xml:space="preserve"> вентиляции новорожденных с проводом нагревательным, для адаптера </w:t>
            </w:r>
            <w:r w:rsidRPr="00CB6AEE">
              <w:rPr>
                <w:color w:val="000000"/>
                <w:sz w:val="18"/>
                <w:szCs w:val="18"/>
                <w:lang w:val="en-US" w:eastAsia="ru-RU"/>
              </w:rPr>
              <w:t>REF</w:t>
            </w:r>
            <w:r w:rsidRPr="00CB6AEE">
              <w:rPr>
                <w:color w:val="000000"/>
                <w:sz w:val="18"/>
                <w:szCs w:val="18"/>
                <w:lang w:eastAsia="ru-RU"/>
              </w:rPr>
              <w:t xml:space="preserve"> 5600 «</w:t>
            </w:r>
            <w:proofErr w:type="spellStart"/>
            <w:r w:rsidRPr="00CB6AEE">
              <w:rPr>
                <w:color w:val="000000"/>
                <w:sz w:val="18"/>
                <w:szCs w:val="18"/>
                <w:lang w:val="en-US" w:eastAsia="ru-RU"/>
              </w:rPr>
              <w:t>Intersurqial</w:t>
            </w:r>
            <w:proofErr w:type="spellEnd"/>
            <w:r w:rsidRPr="00CB6AEE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B6AEE" w:rsidRDefault="00886FA2" w:rsidP="002C5948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 xml:space="preserve"> Дыхательный контур реанимационный для новорожденных с обогревом для назального СРАР. Дыхательный контур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nFlow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однолинейный, общая длина 1,6м состоит из гофрированного шланга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Flextube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с обогревом диаметром 15мм, длиной 1,2м, переходящим в трубку диаметром 6мм длиной 0,5м, подводящей поток к универсальному генератору СРАР. Провод 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>обогрева  спиральный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 (витой),  примыкающий к внутренним стенкам для равномерного прогрева. Разъём питания провода обогрева - </w:t>
            </w:r>
            <w:r w:rsidRPr="00CB6AEE">
              <w:rPr>
                <w:color w:val="000000"/>
                <w:sz w:val="18"/>
                <w:szCs w:val="18"/>
              </w:rPr>
              <w:lastRenderedPageBreak/>
              <w:t xml:space="preserve">двойная контактная группа с направляющим приливом, вмонтирован в жесткий соединитель 22F на камеру увлажнения увлажнителя. Соединитель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имет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температурный порт 7,6мм с невыпадающей герметизирующей вставкой. Аналогичный температурный порт располагается на дистальном конце гофрированного шланга. Универсальный 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>генератор  СРАР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 - генератор с переменным потоком - схемой разобщения инспираторного и экспираторного потоков имеет патрубки: подключения магистрали свежего потока (инспираторный поток), патрубок отвода газов (экспираторный поток) с отводящим шлангом растягивающимся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SuperSet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диаметром 10мм длиной 0,8 м и патрубок подключения линии мониторинга давления с подключённой линией длиной 1, 6м с стыковочным разъемом к аппаратуре "вставляемый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Луер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лок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". Шланг выдоха выполнен из шланга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Super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Set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и имеет малые порты для предупреждения превышения давления при закупорке. К универсальному генератору может 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>подключаться  назальная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 канюля или назальная маска.  Посадочное место для канюли или маски - прямоугольная ниша 12*17мм. В нижней части генератора закреплены две подвязки длиной 14 см для фиксации генератора через отверстия шапочки.  В комплект контура входят: гофрированный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Flextube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дополнительный дыхательный шланг длиной 0,8м для включения в контур камеры увлажнения; ленточный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имеритель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окружности головы для выбора шапочки с цветовой маркировкой размера и круглый шаблон для подбора размера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канюди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или маски. Материал: полиэтилен, полипропилен, хлопок, силикон. Упаковка: индивидуальная, клинически чистая. Срок годности (срок гарантии): 3 года от даты изготовления.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FA2" w:rsidRPr="00324EF9" w:rsidRDefault="00886FA2" w:rsidP="002C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FA2" w:rsidRDefault="00886FA2" w:rsidP="002C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16478</w:t>
            </w:r>
          </w:p>
        </w:tc>
      </w:tr>
      <w:tr w:rsidR="00886FA2" w:rsidRPr="00C102EA" w:rsidTr="00886FA2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B6AEE" w:rsidRDefault="00886FA2" w:rsidP="00886FA2">
            <w:pPr>
              <w:pStyle w:val="a3"/>
              <w:numPr>
                <w:ilvl w:val="0"/>
                <w:numId w:val="21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  <w:r w:rsidRPr="00CB6AEE">
              <w:rPr>
                <w:rFonts w:ascii="Times New Roman" w:hAnsi="Times New Roman"/>
                <w:sz w:val="18"/>
                <w:szCs w:val="18"/>
              </w:rPr>
              <w:lastRenderedPageBreak/>
              <w:t>222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B6AEE" w:rsidRDefault="00886FA2" w:rsidP="002C5948">
            <w:pPr>
              <w:rPr>
                <w:b/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>Камера увлажнителя малого объема для нагревателя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B6AEE" w:rsidRDefault="00886FA2" w:rsidP="002C5948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 xml:space="preserve">Увлажнитель-камера увлажнения для увлажнителей F&amp;P. Для 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>активного  подогрева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 и увлажнения газов, подаваемых пациенту в процессе искусственной вентиляции лёгких с ручным заполнения. Рабочий объём 150мл (эффективный объём 50-240мл), для высокочастотной вентиляции и для неонатального применения при давлении до 180см Н2О и потоке до 140л/мин. Прозрачный корпус - камера с антипригарным покрытием днища, с двумя вход/выход соединительными коннекторами 22м, с градуировкой минимум/максимум, с 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>поплавком  уровня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, с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продольноармированным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шлангом подачи жидкости с иглой (с предохранительным колпачком). и портом выравнивания давления, с зажимом ручного заполнения. Материалы: полипропилен, полиэтилен,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аллюминий.Упаковка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индивидуальная, клинически чистая. Срок годности (срок гарантии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>):  5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 лет от даты изготовления.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Default="00886FA2" w:rsidP="002C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5414</w:t>
            </w:r>
          </w:p>
        </w:tc>
      </w:tr>
      <w:tr w:rsidR="00886FA2" w:rsidRPr="00C102EA" w:rsidTr="00886FA2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B6AEE" w:rsidRDefault="00886FA2" w:rsidP="00886FA2">
            <w:pPr>
              <w:pStyle w:val="a3"/>
              <w:numPr>
                <w:ilvl w:val="0"/>
                <w:numId w:val="21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B6AEE" w:rsidRDefault="00886FA2" w:rsidP="002C5948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>Шапочки фиксаторы для новорожденных – размер 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B6AEE" w:rsidRDefault="00886FA2" w:rsidP="002C5948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 xml:space="preserve">Держатель-фиксатор для шлангов дыхательного контура - шапочка. Открытая 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>шапочка  размер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 3  для пациентов с окружностью головы 28 - 30см,  цвет голубой. Шапочка имеет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атравматичный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подворот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шириной 27мм, выполнена из высококачественного хлопчатобумажного материала. Имеет простроченную зону (двойная строчка шириной 5мм) для усиления подвязочной зоны. Проксимальная открытая часть шапочки имеет треугольные </w:t>
            </w:r>
            <w:r w:rsidRPr="00CB6AEE">
              <w:rPr>
                <w:color w:val="000000"/>
                <w:sz w:val="18"/>
                <w:szCs w:val="18"/>
              </w:rPr>
              <w:lastRenderedPageBreak/>
              <w:t xml:space="preserve">обработанные концы соответствующей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цветоиндикации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(края 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>обработаны  белой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 нитью). Концы завязываются после установки контура для фиксации всей схемы. На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подвороте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с внешней стороны расположена крепёжная лента на липучке с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депфируюшей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прокладкой из мягкого материала для снижения давления контура на лицо пациента. В средней части маски пришиты две ленты - липучки для фиксирования отходящих от универсального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генратора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магистралей (трубок) после установки контура. Материал: хлопок, полиэтилен (липучки).  Упаковка: индивидуальная, клинически чистая. Срок годности (срок гарантии): 3 года от даты </w:t>
            </w:r>
            <w:proofErr w:type="gramStart"/>
            <w:r w:rsidRPr="00CB6AEE">
              <w:rPr>
                <w:color w:val="000000"/>
                <w:sz w:val="18"/>
                <w:szCs w:val="18"/>
              </w:rPr>
              <w:t xml:space="preserve">изготовления.   </w:t>
            </w:r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102EA" w:rsidRDefault="00886FA2" w:rsidP="002C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Default="00886FA2" w:rsidP="002C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5061</w:t>
            </w:r>
          </w:p>
        </w:tc>
      </w:tr>
      <w:tr w:rsidR="00886FA2" w:rsidRPr="00C102EA" w:rsidTr="00886FA2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Pr="00CB6AEE" w:rsidRDefault="00886FA2" w:rsidP="00886FA2">
            <w:pPr>
              <w:pStyle w:val="a3"/>
              <w:numPr>
                <w:ilvl w:val="0"/>
                <w:numId w:val="21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B6AEE" w:rsidRDefault="00886FA2" w:rsidP="002C5948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>Канюли назальные для новорожденных – размер 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Pr="00CB6AEE" w:rsidRDefault="00886FA2" w:rsidP="002C5948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 xml:space="preserve">Назальная канюля для новорожденных для дыхательного контура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nFlow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с универсальным генератором потока. Назальная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нанюля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с прямоугольным основанием. Монтируется на посадочное место универсального генератора потока. Канюля </w:t>
            </w:r>
            <w:proofErr w:type="spellStart"/>
            <w:proofErr w:type="gramStart"/>
            <w:r w:rsidRPr="00CB6AEE">
              <w:rPr>
                <w:color w:val="000000"/>
                <w:sz w:val="18"/>
                <w:szCs w:val="18"/>
              </w:rPr>
              <w:t>прозрачная,мягкая</w:t>
            </w:r>
            <w:proofErr w:type="spellEnd"/>
            <w:proofErr w:type="gramEnd"/>
            <w:r w:rsidRPr="00CB6AEE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атравматичная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, размер M средний,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цветоиндикация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- светло-голубая, с двумя зубцами цилиндрической формы с расширяющимся основанием диаметр 4мм, длина 6мм. Посадочный размер основания канюли 12*17мм. Канюля снабжена боковыми треугольными лепестками для смягчения воздействия форм универсального </w:t>
            </w:r>
            <w:proofErr w:type="spellStart"/>
            <w:r w:rsidRPr="00CB6AEE">
              <w:rPr>
                <w:color w:val="000000"/>
                <w:sz w:val="18"/>
                <w:szCs w:val="18"/>
              </w:rPr>
              <w:t>генратора</w:t>
            </w:r>
            <w:proofErr w:type="spellEnd"/>
            <w:r w:rsidRPr="00CB6AEE">
              <w:rPr>
                <w:color w:val="000000"/>
                <w:sz w:val="18"/>
                <w:szCs w:val="18"/>
              </w:rPr>
              <w:t xml:space="preserve"> на носовую область пациента. Лепестки расположены под углом 45 град. к основанию канюли, длина лепестка 6,0мм. Материал: силикон. Упаковка: индивидуальная, клинически чистая. Срок годности (срок гарантии): 3 года </w:t>
            </w:r>
          </w:p>
          <w:p w:rsidR="00886FA2" w:rsidRPr="00CB6AEE" w:rsidRDefault="00886FA2" w:rsidP="002C5948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color w:val="000000"/>
                <w:sz w:val="18"/>
                <w:szCs w:val="18"/>
              </w:rPr>
              <w:t>от даты изготовления.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Default="00886FA2" w:rsidP="002C594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FA2" w:rsidRDefault="00886FA2" w:rsidP="002C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Default="00886FA2" w:rsidP="002C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2" w:rsidRDefault="00886FA2" w:rsidP="002C5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</w:tr>
    </w:tbl>
    <w:p w:rsidR="0000182E" w:rsidRDefault="00FC6976" w:rsidP="00786032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</w:t>
      </w: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 xml:space="preserve">При вскрытии конвертов с ценовыми предложением </w:t>
      </w:r>
      <w:r w:rsidR="00A963AB">
        <w:rPr>
          <w:sz w:val="22"/>
          <w:szCs w:val="22"/>
          <w:lang w:eastAsia="ru-RU"/>
        </w:rPr>
        <w:t xml:space="preserve">представители </w:t>
      </w:r>
      <w:proofErr w:type="gramStart"/>
      <w:r w:rsidR="00A963AB">
        <w:rPr>
          <w:sz w:val="22"/>
          <w:szCs w:val="22"/>
          <w:lang w:eastAsia="ru-RU"/>
        </w:rPr>
        <w:t>потенциальных  поставщиков</w:t>
      </w:r>
      <w:proofErr w:type="gramEnd"/>
      <w:r w:rsidR="00A963AB">
        <w:rPr>
          <w:sz w:val="22"/>
          <w:szCs w:val="22"/>
          <w:lang w:eastAsia="ru-RU"/>
        </w:rPr>
        <w:t xml:space="preserve"> не</w:t>
      </w:r>
      <w:r w:rsidR="008105D0">
        <w:rPr>
          <w:sz w:val="22"/>
          <w:szCs w:val="22"/>
          <w:lang w:eastAsia="ru-RU"/>
        </w:rPr>
        <w:t xml:space="preserve"> </w:t>
      </w:r>
      <w:r w:rsidR="00064C60">
        <w:rPr>
          <w:sz w:val="22"/>
          <w:szCs w:val="22"/>
          <w:lang w:eastAsia="ru-RU"/>
        </w:rPr>
        <w:t>присутствовал</w:t>
      </w:r>
      <w:r w:rsidR="00A963AB">
        <w:rPr>
          <w:sz w:val="22"/>
          <w:szCs w:val="22"/>
          <w:lang w:eastAsia="ru-RU"/>
        </w:rPr>
        <w:t>и</w:t>
      </w:r>
      <w:r w:rsidRPr="00B360AD">
        <w:rPr>
          <w:sz w:val="22"/>
          <w:szCs w:val="22"/>
          <w:lang w:eastAsia="ru-RU"/>
        </w:rPr>
        <w:t>.</w:t>
      </w:r>
    </w:p>
    <w:p w:rsidR="00CB43C2" w:rsidRPr="00B360AD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CD2F2B" w:rsidRPr="00F934F2" w:rsidRDefault="00420999" w:rsidP="00F934F2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Признать победителем закупа способом запро</w:t>
      </w:r>
      <w:r w:rsidR="00B62C5C">
        <w:rPr>
          <w:caps/>
          <w:sz w:val="22"/>
          <w:szCs w:val="22"/>
          <w:lang w:eastAsia="ru-RU"/>
        </w:rPr>
        <w:t>с</w:t>
      </w:r>
      <w:r w:rsidR="00786032">
        <w:rPr>
          <w:caps/>
          <w:sz w:val="22"/>
          <w:szCs w:val="22"/>
          <w:lang w:eastAsia="ru-RU"/>
        </w:rPr>
        <w:t>а ценовых предложений следующего потенциального поставщика</w:t>
      </w:r>
      <w:r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Pr="00B360AD">
        <w:rPr>
          <w:caps/>
          <w:sz w:val="22"/>
          <w:szCs w:val="22"/>
          <w:lang w:eastAsia="ru-RU"/>
        </w:rPr>
        <w:t xml:space="preserve">:  </w:t>
      </w:r>
    </w:p>
    <w:p w:rsidR="00F934F2" w:rsidRPr="00F934F2" w:rsidRDefault="00F934F2" w:rsidP="00F934F2">
      <w:pPr>
        <w:suppressAutoHyphens w:val="0"/>
        <w:ind w:left="1211"/>
        <w:rPr>
          <w:caps/>
          <w:spacing w:val="2"/>
          <w:sz w:val="22"/>
          <w:szCs w:val="22"/>
          <w:lang w:eastAsia="ru-RU"/>
        </w:rPr>
      </w:pPr>
    </w:p>
    <w:p w:rsidR="00C910D9" w:rsidRPr="00886FA2" w:rsidRDefault="00FC6976" w:rsidP="00886F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лоту №1</w:t>
      </w:r>
      <w:r w:rsidR="00886FA2">
        <w:rPr>
          <w:rFonts w:ascii="Times New Roman" w:hAnsi="Times New Roman"/>
          <w:shd w:val="clear" w:color="auto" w:fill="FFFFFF"/>
        </w:rPr>
        <w:t>,2,3,4</w:t>
      </w:r>
      <w:r w:rsidR="00C910D9">
        <w:rPr>
          <w:rFonts w:ascii="Times New Roman" w:hAnsi="Times New Roman"/>
          <w:shd w:val="clear" w:color="auto" w:fill="FFFFFF"/>
        </w:rPr>
        <w:t xml:space="preserve"> победителем признать потен</w:t>
      </w:r>
      <w:r w:rsidR="005374DB">
        <w:rPr>
          <w:rFonts w:ascii="Times New Roman" w:hAnsi="Times New Roman"/>
          <w:shd w:val="clear" w:color="auto" w:fill="FFFFFF"/>
        </w:rPr>
        <w:t>циального поставщика</w:t>
      </w:r>
      <w:r w:rsidR="002C6790">
        <w:rPr>
          <w:rFonts w:ascii="Times New Roman" w:hAnsi="Times New Roman"/>
          <w:shd w:val="clear" w:color="auto" w:fill="FFFFFF"/>
        </w:rPr>
        <w:t xml:space="preserve"> </w:t>
      </w:r>
      <w:r w:rsidR="002C6790" w:rsidRPr="002C6790">
        <w:rPr>
          <w:rFonts w:ascii="Times New Roman" w:hAnsi="Times New Roman"/>
        </w:rPr>
        <w:t xml:space="preserve"> </w:t>
      </w:r>
      <w:r w:rsidR="00886FA2">
        <w:rPr>
          <w:rFonts w:ascii="Times New Roman" w:hAnsi="Times New Roman"/>
        </w:rPr>
        <w:t xml:space="preserve">                                </w:t>
      </w:r>
      <w:r w:rsidR="00A963AB" w:rsidRPr="004C0E9B">
        <w:rPr>
          <w:rFonts w:ascii="Times New Roman" w:hAnsi="Times New Roman"/>
          <w:sz w:val="20"/>
          <w:szCs w:val="20"/>
        </w:rPr>
        <w:t>ТОО «</w:t>
      </w:r>
      <w:proofErr w:type="gramStart"/>
      <w:r w:rsidR="00886FA2">
        <w:rPr>
          <w:rFonts w:ascii="Times New Roman" w:hAnsi="Times New Roman"/>
          <w:sz w:val="20"/>
          <w:szCs w:val="20"/>
          <w:lang w:val="en-US"/>
        </w:rPr>
        <w:t>SUNMEDICA</w:t>
      </w:r>
      <w:r w:rsidR="00A963AB" w:rsidRPr="004C0E9B">
        <w:rPr>
          <w:rFonts w:ascii="Times New Roman" w:hAnsi="Times New Roman"/>
          <w:sz w:val="20"/>
          <w:szCs w:val="20"/>
        </w:rPr>
        <w:t>»</w:t>
      </w:r>
      <w:r w:rsidR="00886FA2">
        <w:rPr>
          <w:rFonts w:ascii="Times New Roman" w:hAnsi="Times New Roman"/>
          <w:sz w:val="20"/>
          <w:szCs w:val="20"/>
        </w:rPr>
        <w:t>(</w:t>
      </w:r>
      <w:proofErr w:type="gramEnd"/>
      <w:r w:rsidR="00886FA2">
        <w:rPr>
          <w:rFonts w:ascii="Times New Roman" w:hAnsi="Times New Roman"/>
          <w:sz w:val="20"/>
          <w:szCs w:val="20"/>
        </w:rPr>
        <w:t xml:space="preserve">САНМЕДИКА) </w:t>
      </w:r>
      <w:r w:rsidR="00A963AB">
        <w:rPr>
          <w:sz w:val="20"/>
          <w:szCs w:val="20"/>
        </w:rPr>
        <w:t xml:space="preserve"> </w:t>
      </w:r>
      <w:r w:rsidR="005374DB">
        <w:rPr>
          <w:rFonts w:ascii="Times New Roman" w:hAnsi="Times New Roman"/>
          <w:shd w:val="clear" w:color="auto" w:fill="FFFFFF"/>
        </w:rPr>
        <w:t>местонахождение:</w:t>
      </w:r>
      <w:r w:rsidR="00886FA2">
        <w:rPr>
          <w:rFonts w:ascii="Times New Roman" w:hAnsi="Times New Roman"/>
          <w:shd w:val="clear" w:color="auto" w:fill="FFFFFF"/>
        </w:rPr>
        <w:t xml:space="preserve"> г. Алматы, ул. </w:t>
      </w:r>
      <w:proofErr w:type="spellStart"/>
      <w:r w:rsidR="00886FA2">
        <w:rPr>
          <w:rFonts w:ascii="Times New Roman" w:hAnsi="Times New Roman"/>
          <w:shd w:val="clear" w:color="auto" w:fill="FFFFFF"/>
        </w:rPr>
        <w:t>Кунаева</w:t>
      </w:r>
      <w:proofErr w:type="spellEnd"/>
      <w:r w:rsidR="00886FA2">
        <w:rPr>
          <w:rFonts w:ascii="Times New Roman" w:hAnsi="Times New Roman"/>
          <w:shd w:val="clear" w:color="auto" w:fill="FFFFFF"/>
        </w:rPr>
        <w:t xml:space="preserve"> 21Б, офис 75</w:t>
      </w:r>
      <w:r w:rsidR="00F934F2">
        <w:rPr>
          <w:rFonts w:ascii="Times New Roman" w:hAnsi="Times New Roman"/>
          <w:shd w:val="clear" w:color="auto" w:fill="FFFFFF"/>
        </w:rPr>
        <w:t xml:space="preserve">. </w:t>
      </w:r>
      <w:r w:rsidR="00C910D9">
        <w:rPr>
          <w:rFonts w:ascii="Times New Roman" w:hAnsi="Times New Roman"/>
          <w:shd w:val="clear" w:color="auto" w:fill="FFFFFF"/>
        </w:rPr>
        <w:t>При соответствии победителя квалификационным требованиям з</w:t>
      </w:r>
      <w:r w:rsidR="005374DB">
        <w:rPr>
          <w:rFonts w:ascii="Times New Roman" w:hAnsi="Times New Roman"/>
          <w:shd w:val="clear" w:color="auto" w:fill="FFFFFF"/>
        </w:rPr>
        <w:t xml:space="preserve">аключить </w:t>
      </w:r>
      <w:r w:rsidR="00886FA2">
        <w:rPr>
          <w:rFonts w:ascii="Times New Roman" w:hAnsi="Times New Roman"/>
          <w:shd w:val="clear" w:color="auto" w:fill="FFFFFF"/>
        </w:rPr>
        <w:t>с ним договор на сумму 275 420</w:t>
      </w:r>
      <w:r w:rsidR="00C910D9">
        <w:rPr>
          <w:rFonts w:ascii="Times New Roman" w:hAnsi="Times New Roman"/>
          <w:shd w:val="clear" w:color="auto" w:fill="FFFFFF"/>
        </w:rPr>
        <w:t xml:space="preserve"> тенге (</w:t>
      </w:r>
      <w:r w:rsidR="00A963AB">
        <w:rPr>
          <w:rFonts w:ascii="Times New Roman" w:hAnsi="Times New Roman"/>
          <w:shd w:val="clear" w:color="auto" w:fill="FFFFFF"/>
        </w:rPr>
        <w:t xml:space="preserve">Двести </w:t>
      </w:r>
      <w:r w:rsidR="00886FA2">
        <w:rPr>
          <w:rFonts w:ascii="Times New Roman" w:hAnsi="Times New Roman"/>
          <w:shd w:val="clear" w:color="auto" w:fill="FFFFFF"/>
        </w:rPr>
        <w:t>семьдесят пять тысяч четыреста двадцать тенге</w:t>
      </w:r>
      <w:r w:rsidR="00C910D9" w:rsidRPr="00886FA2">
        <w:rPr>
          <w:rFonts w:ascii="Times New Roman" w:hAnsi="Times New Roman"/>
          <w:shd w:val="clear" w:color="auto" w:fill="FFFFFF"/>
        </w:rPr>
        <w:t xml:space="preserve">,00 </w:t>
      </w:r>
      <w:proofErr w:type="spellStart"/>
      <w:r w:rsidR="00C910D9" w:rsidRPr="00886FA2">
        <w:rPr>
          <w:rFonts w:ascii="Times New Roman" w:hAnsi="Times New Roman"/>
          <w:shd w:val="clear" w:color="auto" w:fill="FFFFFF"/>
        </w:rPr>
        <w:t>тиын</w:t>
      </w:r>
      <w:proofErr w:type="spellEnd"/>
      <w:r w:rsidR="00C910D9" w:rsidRPr="00886FA2">
        <w:rPr>
          <w:rFonts w:ascii="Times New Roman" w:hAnsi="Times New Roman"/>
          <w:shd w:val="clear" w:color="auto" w:fill="FFFFFF"/>
        </w:rPr>
        <w:t>).</w:t>
      </w:r>
    </w:p>
    <w:p w:rsidR="00C2366C" w:rsidRDefault="00C2366C" w:rsidP="00C2366C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C2366C" w:rsidRDefault="00C2366C" w:rsidP="00C2366C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1458C0" w:rsidRPr="000446F1" w:rsidRDefault="001458C0" w:rsidP="001458C0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E25325" w:rsidRPr="005B30DF" w:rsidRDefault="00E25325" w:rsidP="005B30DF">
      <w:pPr>
        <w:jc w:val="both"/>
        <w:rPr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280DB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</w:p>
    <w:p w:rsidR="00280DBB" w:rsidRDefault="00420999" w:rsidP="003F06EE">
      <w:pPr>
        <w:suppressAutoHyphens w:val="0"/>
        <w:spacing w:line="276" w:lineRule="auto"/>
        <w:rPr>
          <w:b/>
        </w:rPr>
      </w:pP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886FA2" w:rsidP="00280DBB">
      <w:pPr>
        <w:rPr>
          <w:b/>
        </w:rPr>
      </w:pPr>
      <w:r>
        <w:rPr>
          <w:b/>
        </w:rPr>
        <w:t xml:space="preserve"> Д</w:t>
      </w:r>
      <w:r w:rsidR="005B30DF">
        <w:rPr>
          <w:b/>
        </w:rPr>
        <w:t xml:space="preserve">иректор         </w:t>
      </w:r>
      <w:r w:rsidR="00280DBB">
        <w:rPr>
          <w:b/>
        </w:rPr>
        <w:t xml:space="preserve">                                                               </w:t>
      </w:r>
      <w:r>
        <w:rPr>
          <w:b/>
        </w:rPr>
        <w:t xml:space="preserve">            Новиков Н</w:t>
      </w:r>
      <w:bookmarkStart w:id="0" w:name="_GoBack"/>
      <w:bookmarkEnd w:id="0"/>
      <w:r>
        <w:rPr>
          <w:b/>
        </w:rPr>
        <w:t>.А</w:t>
      </w:r>
      <w:r w:rsidR="00A963AB">
        <w:rPr>
          <w:b/>
        </w:rPr>
        <w:t>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</w:t>
      </w:r>
      <w:r w:rsidR="00280DBB">
        <w:rPr>
          <w:b/>
        </w:rPr>
        <w:t xml:space="preserve">        </w:t>
      </w:r>
    </w:p>
    <w:sectPr w:rsidR="00442BF6" w:rsidRPr="00280DBB" w:rsidSect="00F934F2">
      <w:pgSz w:w="11906" w:h="16838"/>
      <w:pgMar w:top="426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3253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8"/>
  </w:num>
  <w:num w:numId="5">
    <w:abstractNumId w:val="19"/>
  </w:num>
  <w:num w:numId="6">
    <w:abstractNumId w:val="6"/>
  </w:num>
  <w:num w:numId="7">
    <w:abstractNumId w:val="3"/>
  </w:num>
  <w:num w:numId="8">
    <w:abstractNumId w:val="12"/>
  </w:num>
  <w:num w:numId="9">
    <w:abstractNumId w:val="13"/>
  </w:num>
  <w:num w:numId="10">
    <w:abstractNumId w:val="1"/>
  </w:num>
  <w:num w:numId="11">
    <w:abstractNumId w:val="8"/>
  </w:num>
  <w:num w:numId="12">
    <w:abstractNumId w:val="14"/>
  </w:num>
  <w:num w:numId="13">
    <w:abstractNumId w:val="9"/>
  </w:num>
  <w:num w:numId="14">
    <w:abstractNumId w:val="0"/>
  </w:num>
  <w:num w:numId="15">
    <w:abstractNumId w:val="4"/>
  </w:num>
  <w:num w:numId="16">
    <w:abstractNumId w:val="17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446F1"/>
    <w:rsid w:val="0005681C"/>
    <w:rsid w:val="00063A70"/>
    <w:rsid w:val="00064C60"/>
    <w:rsid w:val="00066D35"/>
    <w:rsid w:val="00071B8A"/>
    <w:rsid w:val="00072742"/>
    <w:rsid w:val="0009306D"/>
    <w:rsid w:val="000A03B6"/>
    <w:rsid w:val="000A2D7E"/>
    <w:rsid w:val="000A4035"/>
    <w:rsid w:val="000A580D"/>
    <w:rsid w:val="000B4DC6"/>
    <w:rsid w:val="000C133F"/>
    <w:rsid w:val="000D6019"/>
    <w:rsid w:val="000D7F37"/>
    <w:rsid w:val="000E2D92"/>
    <w:rsid w:val="000E3397"/>
    <w:rsid w:val="000E3695"/>
    <w:rsid w:val="00123CE1"/>
    <w:rsid w:val="00125655"/>
    <w:rsid w:val="00125D96"/>
    <w:rsid w:val="00143C51"/>
    <w:rsid w:val="001458C0"/>
    <w:rsid w:val="001636F0"/>
    <w:rsid w:val="0016558A"/>
    <w:rsid w:val="00180BAF"/>
    <w:rsid w:val="001B0EF5"/>
    <w:rsid w:val="001B3442"/>
    <w:rsid w:val="001B4FE4"/>
    <w:rsid w:val="001C256A"/>
    <w:rsid w:val="001E1CA9"/>
    <w:rsid w:val="001F3AAB"/>
    <w:rsid w:val="001F4996"/>
    <w:rsid w:val="001F6767"/>
    <w:rsid w:val="00217541"/>
    <w:rsid w:val="00217BBB"/>
    <w:rsid w:val="00222FA2"/>
    <w:rsid w:val="00233B5F"/>
    <w:rsid w:val="00235662"/>
    <w:rsid w:val="00237E26"/>
    <w:rsid w:val="002451E6"/>
    <w:rsid w:val="002515F6"/>
    <w:rsid w:val="0025432A"/>
    <w:rsid w:val="00262E2F"/>
    <w:rsid w:val="0027700E"/>
    <w:rsid w:val="00280DBB"/>
    <w:rsid w:val="00290DB3"/>
    <w:rsid w:val="00296620"/>
    <w:rsid w:val="002C6790"/>
    <w:rsid w:val="002C7139"/>
    <w:rsid w:val="002D0D6A"/>
    <w:rsid w:val="002D35A5"/>
    <w:rsid w:val="002D3DB0"/>
    <w:rsid w:val="002E4580"/>
    <w:rsid w:val="002F1DAB"/>
    <w:rsid w:val="002F7B52"/>
    <w:rsid w:val="0030265D"/>
    <w:rsid w:val="00311476"/>
    <w:rsid w:val="0032651C"/>
    <w:rsid w:val="003357A7"/>
    <w:rsid w:val="00342F2A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3E70"/>
    <w:rsid w:val="003F657E"/>
    <w:rsid w:val="00404F6C"/>
    <w:rsid w:val="0040638C"/>
    <w:rsid w:val="00410DFB"/>
    <w:rsid w:val="00420999"/>
    <w:rsid w:val="00421F48"/>
    <w:rsid w:val="004221D6"/>
    <w:rsid w:val="00423D16"/>
    <w:rsid w:val="00442BF6"/>
    <w:rsid w:val="0044437E"/>
    <w:rsid w:val="004513B1"/>
    <w:rsid w:val="004543F6"/>
    <w:rsid w:val="00455179"/>
    <w:rsid w:val="0045526F"/>
    <w:rsid w:val="004554C1"/>
    <w:rsid w:val="00463A02"/>
    <w:rsid w:val="0049510C"/>
    <w:rsid w:val="004A0D53"/>
    <w:rsid w:val="004A5EEB"/>
    <w:rsid w:val="004B7C0A"/>
    <w:rsid w:val="004C0BC7"/>
    <w:rsid w:val="004C0E9B"/>
    <w:rsid w:val="004D4EDE"/>
    <w:rsid w:val="004F1CC4"/>
    <w:rsid w:val="004F7E0B"/>
    <w:rsid w:val="00500E75"/>
    <w:rsid w:val="0051657A"/>
    <w:rsid w:val="005254A6"/>
    <w:rsid w:val="00533B9A"/>
    <w:rsid w:val="005374DB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30DF"/>
    <w:rsid w:val="005B7269"/>
    <w:rsid w:val="005C1A30"/>
    <w:rsid w:val="005D79D3"/>
    <w:rsid w:val="005E1B36"/>
    <w:rsid w:val="005F7452"/>
    <w:rsid w:val="006168D8"/>
    <w:rsid w:val="00616DFA"/>
    <w:rsid w:val="00623F0F"/>
    <w:rsid w:val="00627EEF"/>
    <w:rsid w:val="00665AC7"/>
    <w:rsid w:val="00667BCF"/>
    <w:rsid w:val="00671EEC"/>
    <w:rsid w:val="00697320"/>
    <w:rsid w:val="006A1209"/>
    <w:rsid w:val="006D7475"/>
    <w:rsid w:val="006F1A87"/>
    <w:rsid w:val="006F63EE"/>
    <w:rsid w:val="00712334"/>
    <w:rsid w:val="0071496C"/>
    <w:rsid w:val="00720AF7"/>
    <w:rsid w:val="00736264"/>
    <w:rsid w:val="00740696"/>
    <w:rsid w:val="00743622"/>
    <w:rsid w:val="00746FA9"/>
    <w:rsid w:val="00756137"/>
    <w:rsid w:val="00765D8D"/>
    <w:rsid w:val="00786032"/>
    <w:rsid w:val="00792065"/>
    <w:rsid w:val="007967F2"/>
    <w:rsid w:val="007A35FB"/>
    <w:rsid w:val="007A4504"/>
    <w:rsid w:val="007A7960"/>
    <w:rsid w:val="007B113B"/>
    <w:rsid w:val="007B3C26"/>
    <w:rsid w:val="007D29BB"/>
    <w:rsid w:val="007E50A0"/>
    <w:rsid w:val="007E5271"/>
    <w:rsid w:val="007E6A62"/>
    <w:rsid w:val="00803311"/>
    <w:rsid w:val="008038D8"/>
    <w:rsid w:val="008105D0"/>
    <w:rsid w:val="00813423"/>
    <w:rsid w:val="00815998"/>
    <w:rsid w:val="00830B5E"/>
    <w:rsid w:val="00846E95"/>
    <w:rsid w:val="008706DF"/>
    <w:rsid w:val="00886FA2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F0A48"/>
    <w:rsid w:val="008F13C5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3EEE"/>
    <w:rsid w:val="00A0499B"/>
    <w:rsid w:val="00A125B8"/>
    <w:rsid w:val="00A37B26"/>
    <w:rsid w:val="00A41387"/>
    <w:rsid w:val="00A46882"/>
    <w:rsid w:val="00A63D89"/>
    <w:rsid w:val="00A71FA9"/>
    <w:rsid w:val="00A766C3"/>
    <w:rsid w:val="00A83707"/>
    <w:rsid w:val="00A83FDC"/>
    <w:rsid w:val="00A963AB"/>
    <w:rsid w:val="00AB55A3"/>
    <w:rsid w:val="00AC4D9A"/>
    <w:rsid w:val="00AF02AE"/>
    <w:rsid w:val="00B20886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C16D4"/>
    <w:rsid w:val="00BC6773"/>
    <w:rsid w:val="00BD3C9F"/>
    <w:rsid w:val="00BD44F0"/>
    <w:rsid w:val="00BD610D"/>
    <w:rsid w:val="00C16805"/>
    <w:rsid w:val="00C2366C"/>
    <w:rsid w:val="00C2405D"/>
    <w:rsid w:val="00C34B44"/>
    <w:rsid w:val="00C37F94"/>
    <w:rsid w:val="00C5068B"/>
    <w:rsid w:val="00C5360C"/>
    <w:rsid w:val="00C57EF2"/>
    <w:rsid w:val="00C623FD"/>
    <w:rsid w:val="00C628B3"/>
    <w:rsid w:val="00C74774"/>
    <w:rsid w:val="00C840DA"/>
    <w:rsid w:val="00C910D9"/>
    <w:rsid w:val="00C91CA3"/>
    <w:rsid w:val="00CB14E2"/>
    <w:rsid w:val="00CB43C2"/>
    <w:rsid w:val="00CD2E2E"/>
    <w:rsid w:val="00CD2F2B"/>
    <w:rsid w:val="00CD7F9E"/>
    <w:rsid w:val="00CE1741"/>
    <w:rsid w:val="00CE31FE"/>
    <w:rsid w:val="00CF50C9"/>
    <w:rsid w:val="00D03656"/>
    <w:rsid w:val="00D213FA"/>
    <w:rsid w:val="00D355AF"/>
    <w:rsid w:val="00D43AB7"/>
    <w:rsid w:val="00D458E4"/>
    <w:rsid w:val="00D60C4E"/>
    <w:rsid w:val="00D62840"/>
    <w:rsid w:val="00D63987"/>
    <w:rsid w:val="00D768CC"/>
    <w:rsid w:val="00D86C77"/>
    <w:rsid w:val="00D90099"/>
    <w:rsid w:val="00DA0B6A"/>
    <w:rsid w:val="00DA2882"/>
    <w:rsid w:val="00DA5B3D"/>
    <w:rsid w:val="00DC0443"/>
    <w:rsid w:val="00DD4F54"/>
    <w:rsid w:val="00DE5353"/>
    <w:rsid w:val="00E06B6C"/>
    <w:rsid w:val="00E11594"/>
    <w:rsid w:val="00E16E80"/>
    <w:rsid w:val="00E20981"/>
    <w:rsid w:val="00E25325"/>
    <w:rsid w:val="00E455ED"/>
    <w:rsid w:val="00E50062"/>
    <w:rsid w:val="00E507D4"/>
    <w:rsid w:val="00E54474"/>
    <w:rsid w:val="00E63CCA"/>
    <w:rsid w:val="00E75BC2"/>
    <w:rsid w:val="00E853FF"/>
    <w:rsid w:val="00EA0892"/>
    <w:rsid w:val="00EA3073"/>
    <w:rsid w:val="00EA35CF"/>
    <w:rsid w:val="00EB200A"/>
    <w:rsid w:val="00EC49C5"/>
    <w:rsid w:val="00F04FD0"/>
    <w:rsid w:val="00F053B1"/>
    <w:rsid w:val="00F2181B"/>
    <w:rsid w:val="00F32F93"/>
    <w:rsid w:val="00F423E8"/>
    <w:rsid w:val="00F427D1"/>
    <w:rsid w:val="00F52368"/>
    <w:rsid w:val="00F65A1F"/>
    <w:rsid w:val="00F66972"/>
    <w:rsid w:val="00F9221B"/>
    <w:rsid w:val="00F934F2"/>
    <w:rsid w:val="00F95C46"/>
    <w:rsid w:val="00FA272C"/>
    <w:rsid w:val="00FA6C94"/>
    <w:rsid w:val="00FA741A"/>
    <w:rsid w:val="00FA75FE"/>
    <w:rsid w:val="00FA7680"/>
    <w:rsid w:val="00FA79DD"/>
    <w:rsid w:val="00FB224B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7983F-1F1B-4C29-A4C3-E5102C67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18296-6E0F-4E3E-8D5E-59ACF52A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5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235</cp:revision>
  <cp:lastPrinted>2021-10-05T03:30:00Z</cp:lastPrinted>
  <dcterms:created xsi:type="dcterms:W3CDTF">2019-07-31T10:54:00Z</dcterms:created>
  <dcterms:modified xsi:type="dcterms:W3CDTF">2021-10-05T03:32:00Z</dcterms:modified>
</cp:coreProperties>
</file>